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DD" w:rsidRPr="001F2865" w:rsidRDefault="00F801DD" w:rsidP="00F801DD">
      <w:pPr>
        <w:spacing w:line="240" w:lineRule="auto"/>
        <w:contextualSpacing/>
        <w:rPr>
          <w:sz w:val="20"/>
          <w:szCs w:val="20"/>
        </w:rPr>
      </w:pPr>
    </w:p>
    <w:p w:rsidR="00F801DD" w:rsidRPr="008E1B3A" w:rsidRDefault="008E1B3A" w:rsidP="008E1B3A">
      <w:pPr>
        <w:spacing w:line="240" w:lineRule="auto"/>
        <w:contextualSpacing/>
        <w:jc w:val="center"/>
        <w:rPr>
          <w:b/>
          <w:szCs w:val="20"/>
        </w:rPr>
      </w:pPr>
      <w:r w:rsidRPr="008E1B3A">
        <w:rPr>
          <w:b/>
          <w:szCs w:val="20"/>
        </w:rPr>
        <w:t xml:space="preserve">General </w:t>
      </w:r>
      <w:proofErr w:type="spellStart"/>
      <w:r w:rsidRPr="008E1B3A">
        <w:rPr>
          <w:b/>
          <w:szCs w:val="20"/>
        </w:rPr>
        <w:t>information</w:t>
      </w:r>
      <w:proofErr w:type="spellEnd"/>
      <w:r w:rsidRPr="008E1B3A">
        <w:rPr>
          <w:b/>
          <w:szCs w:val="20"/>
        </w:rPr>
        <w:t xml:space="preserve"> on </w:t>
      </w:r>
      <w:proofErr w:type="spellStart"/>
      <w:r w:rsidRPr="008E1B3A">
        <w:rPr>
          <w:b/>
          <w:szCs w:val="20"/>
        </w:rPr>
        <w:t>applications</w:t>
      </w:r>
      <w:proofErr w:type="spellEnd"/>
      <w:r w:rsidRPr="008E1B3A">
        <w:rPr>
          <w:b/>
          <w:szCs w:val="20"/>
        </w:rPr>
        <w:t xml:space="preserve"> </w:t>
      </w:r>
      <w:proofErr w:type="spellStart"/>
      <w:r w:rsidRPr="008E1B3A">
        <w:rPr>
          <w:b/>
          <w:szCs w:val="20"/>
        </w:rPr>
        <w:t>for</w:t>
      </w:r>
      <w:proofErr w:type="spellEnd"/>
      <w:r w:rsidRPr="008E1B3A">
        <w:rPr>
          <w:b/>
          <w:szCs w:val="20"/>
        </w:rPr>
        <w:t xml:space="preserve"> </w:t>
      </w:r>
      <w:proofErr w:type="spellStart"/>
      <w:r w:rsidRPr="008E1B3A">
        <w:rPr>
          <w:b/>
          <w:szCs w:val="20"/>
        </w:rPr>
        <w:t>authorisation</w:t>
      </w:r>
      <w:proofErr w:type="spellEnd"/>
      <w:r w:rsidRPr="008E1B3A">
        <w:rPr>
          <w:b/>
          <w:szCs w:val="20"/>
        </w:rPr>
        <w:t xml:space="preserve"> </w:t>
      </w:r>
      <w:proofErr w:type="spellStart"/>
      <w:r w:rsidRPr="008E1B3A">
        <w:rPr>
          <w:b/>
          <w:szCs w:val="20"/>
        </w:rPr>
        <w:t>of</w:t>
      </w:r>
      <w:proofErr w:type="spellEnd"/>
      <w:r w:rsidRPr="008E1B3A">
        <w:rPr>
          <w:b/>
          <w:szCs w:val="20"/>
        </w:rPr>
        <w:t xml:space="preserve"> plant </w:t>
      </w:r>
      <w:proofErr w:type="spellStart"/>
      <w:r w:rsidRPr="008E1B3A">
        <w:rPr>
          <w:b/>
          <w:szCs w:val="20"/>
        </w:rPr>
        <w:t>protection</w:t>
      </w:r>
      <w:proofErr w:type="spellEnd"/>
      <w:r w:rsidRPr="008E1B3A">
        <w:rPr>
          <w:b/>
          <w:szCs w:val="20"/>
        </w:rPr>
        <w:t xml:space="preserve"> </w:t>
      </w:r>
      <w:proofErr w:type="spellStart"/>
      <w:r w:rsidRPr="008E1B3A">
        <w:rPr>
          <w:b/>
          <w:szCs w:val="20"/>
        </w:rPr>
        <w:t>products</w:t>
      </w:r>
      <w:proofErr w:type="spellEnd"/>
      <w:r w:rsidRPr="008E1B3A">
        <w:rPr>
          <w:b/>
          <w:szCs w:val="20"/>
        </w:rPr>
        <w:t xml:space="preserve"> </w:t>
      </w:r>
      <w:proofErr w:type="spellStart"/>
      <w:r w:rsidRPr="008E1B3A">
        <w:rPr>
          <w:b/>
          <w:szCs w:val="20"/>
        </w:rPr>
        <w:t>acc</w:t>
      </w:r>
      <w:proofErr w:type="spellEnd"/>
      <w:r w:rsidRPr="008E1B3A">
        <w:rPr>
          <w:b/>
          <w:szCs w:val="20"/>
        </w:rPr>
        <w:t xml:space="preserve">. </w:t>
      </w:r>
      <w:proofErr w:type="spellStart"/>
      <w:r w:rsidRPr="008E1B3A">
        <w:rPr>
          <w:b/>
          <w:szCs w:val="20"/>
        </w:rPr>
        <w:t>to</w:t>
      </w:r>
      <w:proofErr w:type="spellEnd"/>
      <w:r w:rsidRPr="008E1B3A">
        <w:rPr>
          <w:b/>
          <w:szCs w:val="20"/>
        </w:rPr>
        <w:t xml:space="preserve"> Art 33, </w:t>
      </w:r>
      <w:proofErr w:type="spellStart"/>
      <w:r w:rsidRPr="008E1B3A">
        <w:rPr>
          <w:b/>
          <w:szCs w:val="20"/>
        </w:rPr>
        <w:t>with</w:t>
      </w:r>
      <w:proofErr w:type="spellEnd"/>
      <w:r w:rsidRPr="008E1B3A">
        <w:rPr>
          <w:b/>
          <w:szCs w:val="20"/>
        </w:rPr>
        <w:t xml:space="preserve"> </w:t>
      </w:r>
      <w:proofErr w:type="spellStart"/>
      <w:r w:rsidRPr="008E1B3A">
        <w:rPr>
          <w:b/>
          <w:szCs w:val="20"/>
        </w:rPr>
        <w:t>reference</w:t>
      </w:r>
      <w:proofErr w:type="spellEnd"/>
      <w:r w:rsidRPr="008E1B3A">
        <w:rPr>
          <w:b/>
          <w:szCs w:val="20"/>
        </w:rPr>
        <w:t xml:space="preserve"> </w:t>
      </w:r>
      <w:proofErr w:type="spellStart"/>
      <w:r w:rsidRPr="008E1B3A">
        <w:rPr>
          <w:b/>
          <w:szCs w:val="20"/>
        </w:rPr>
        <w:t>to</w:t>
      </w:r>
      <w:proofErr w:type="spellEnd"/>
      <w:r w:rsidRPr="008E1B3A">
        <w:rPr>
          <w:b/>
          <w:szCs w:val="20"/>
        </w:rPr>
        <w:t xml:space="preserve"> Art. 34 </w:t>
      </w:r>
      <w:r>
        <w:rPr>
          <w:b/>
          <w:szCs w:val="20"/>
        </w:rPr>
        <w:br/>
      </w:r>
      <w:r w:rsidRPr="008E1B3A">
        <w:rPr>
          <w:b/>
          <w:szCs w:val="20"/>
        </w:rPr>
        <w:t xml:space="preserve">Regulation (EC) </w:t>
      </w:r>
      <w:proofErr w:type="spellStart"/>
      <w:r w:rsidRPr="008E1B3A">
        <w:rPr>
          <w:b/>
          <w:szCs w:val="20"/>
        </w:rPr>
        <w:t>No</w:t>
      </w:r>
      <w:proofErr w:type="spellEnd"/>
      <w:r w:rsidRPr="008E1B3A">
        <w:rPr>
          <w:b/>
          <w:szCs w:val="20"/>
        </w:rPr>
        <w:t>. 1107/2009</w:t>
      </w:r>
    </w:p>
    <w:p w:rsidR="00F801DD" w:rsidRPr="001F2865" w:rsidRDefault="00F801DD" w:rsidP="00F801DD">
      <w:pPr>
        <w:spacing w:line="240" w:lineRule="auto"/>
        <w:contextualSpacing/>
        <w:rPr>
          <w:sz w:val="20"/>
          <w:szCs w:val="20"/>
        </w:rPr>
      </w:pPr>
    </w:p>
    <w:p w:rsidR="00F801DD" w:rsidRPr="001F2865" w:rsidRDefault="00F801DD" w:rsidP="00F801DD">
      <w:pPr>
        <w:spacing w:line="240" w:lineRule="auto"/>
        <w:contextualSpacing/>
        <w:rPr>
          <w:sz w:val="20"/>
          <w:szCs w:val="20"/>
        </w:rPr>
      </w:pPr>
    </w:p>
    <w:p w:rsidR="008E1B3A" w:rsidRDefault="008E1B3A" w:rsidP="00DA08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light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common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European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approach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taken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Regulation (EC)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1107/2009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following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harmonisations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beeing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implemented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regarding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according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Art. 33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connection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with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Art. 34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exemption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from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submission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studies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Art. 34 (1))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Regulation (EC)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1107/2009. 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adaptions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procedure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Austria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based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harmonised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rules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light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recital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9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25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well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Article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Regulation (EC)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1107/2009.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Furhtermore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rules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out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Regulation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light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currently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valid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Guidance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Documents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authorisation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plant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protection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require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uniform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approach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throughout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European Union.</w:t>
      </w:r>
    </w:p>
    <w:p w:rsidR="008E1B3A" w:rsidRDefault="008E1B3A" w:rsidP="00DA08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April 2023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applications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Art. 33 in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connection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with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Art. 34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can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only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be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processed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if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documents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required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acc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Art. 33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are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submitted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entirely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. This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includes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submission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complete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dossier,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with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exepmtion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documents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referred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acc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. Art. 34 (1). </w:t>
      </w:r>
    </w:p>
    <w:p w:rsidR="008E1B3A" w:rsidRDefault="008E1B3A" w:rsidP="00DA08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The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acc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Art. 33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with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reference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Art. 34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is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processed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according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a zonal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procedure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: </w:t>
      </w: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order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accommodate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your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within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zonal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framework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ensure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quick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well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efficient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process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light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framework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out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Regulation (EC)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1107/2009,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you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required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request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slot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zonal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applications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with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Austria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as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zonal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Rapporteur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Member State (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zRMS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)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please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contact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10" w:history="1">
        <w:r>
          <w:rPr>
            <w:rFonts w:ascii="Tahoma" w:hAnsi="Tahoma" w:cs="Tahoma"/>
            <w:color w:val="0000FF"/>
            <w:sz w:val="20"/>
            <w:szCs w:val="20"/>
          </w:rPr>
          <w:t>ppp@baes.gv.at</w:t>
        </w:r>
      </w:hyperlink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expiry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dates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authorised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Austria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Art. 33 will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following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framework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layed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down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Art. 32.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Therefore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approval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active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substance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at least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active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substances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contained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relevant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must not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expire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within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year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from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 </w:t>
      </w: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E1B3A" w:rsidRDefault="008E1B3A" w:rsidP="00DA08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Applicants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who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submit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an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application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acc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to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Art. 33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with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reference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to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Art. 34 must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therefore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provide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: </w:t>
      </w:r>
    </w:p>
    <w:p w:rsidR="008E1B3A" w:rsidRDefault="008E1B3A" w:rsidP="00DA086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cover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letter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signed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paper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form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by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regular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mail</w:t>
      </w:r>
      <w:r>
        <w:rPr>
          <w:rFonts w:ascii="Tahoma" w:hAnsi="Tahoma" w:cs="Tahoma"/>
          <w:color w:val="000000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short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description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including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trade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name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authorisation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number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reference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including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attachments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E1B3A" w:rsidRDefault="008E1B3A" w:rsidP="00DA08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[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reference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more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authorised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plant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protection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within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same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not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possible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.]</w:t>
      </w:r>
    </w:p>
    <w:p w:rsidR="008E1B3A" w:rsidRDefault="008E1B3A" w:rsidP="00DA086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GAP-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tables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German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English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z w:val="20"/>
          <w:szCs w:val="20"/>
        </w:rPr>
        <w:t>ectronically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paper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form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E1B3A" w:rsidRDefault="008E1B3A" w:rsidP="00DA086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8E1B3A"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 w:rsidRPr="008E1B3A">
        <w:rPr>
          <w:rFonts w:ascii="Tahoma" w:hAnsi="Tahoma" w:cs="Tahoma"/>
          <w:color w:val="000000"/>
          <w:sz w:val="20"/>
          <w:szCs w:val="20"/>
        </w:rPr>
        <w:t xml:space="preserve"> form </w:t>
      </w:r>
    </w:p>
    <w:p w:rsidR="008E1B3A" w:rsidRPr="008E1B3A" w:rsidRDefault="008E1B3A" w:rsidP="00DA086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8E1B3A">
        <w:rPr>
          <w:rFonts w:ascii="Tahoma" w:hAnsi="Tahoma" w:cs="Tahoma"/>
          <w:color w:val="000000"/>
          <w:sz w:val="20"/>
          <w:szCs w:val="20"/>
        </w:rPr>
        <w:t>declaration</w:t>
      </w:r>
      <w:proofErr w:type="spellEnd"/>
      <w:r w:rsidRPr="008E1B3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E1B3A">
        <w:rPr>
          <w:rFonts w:ascii="Tahoma" w:hAnsi="Tahoma" w:cs="Tahoma"/>
          <w:color w:val="000000"/>
          <w:sz w:val="20"/>
          <w:szCs w:val="20"/>
        </w:rPr>
        <w:t>that</w:t>
      </w:r>
      <w:proofErr w:type="spellEnd"/>
      <w:r w:rsidRPr="008E1B3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E1B3A">
        <w:rPr>
          <w:rFonts w:ascii="Tahoma" w:hAnsi="Tahoma" w:cs="Tahoma"/>
          <w:color w:val="000000"/>
          <w:sz w:val="20"/>
          <w:szCs w:val="20"/>
        </w:rPr>
        <w:t>no</w:t>
      </w:r>
      <w:proofErr w:type="spellEnd"/>
      <w:r w:rsidRPr="008E1B3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E1B3A">
        <w:rPr>
          <w:rFonts w:ascii="Tahoma" w:hAnsi="Tahoma" w:cs="Tahoma"/>
          <w:color w:val="000000"/>
          <w:sz w:val="20"/>
          <w:szCs w:val="20"/>
        </w:rPr>
        <w:t>unacceptable</w:t>
      </w:r>
      <w:proofErr w:type="spellEnd"/>
      <w:r w:rsidRPr="008E1B3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E1B3A">
        <w:rPr>
          <w:rFonts w:ascii="Tahoma" w:hAnsi="Tahoma" w:cs="Tahoma"/>
          <w:color w:val="000000"/>
          <w:sz w:val="20"/>
          <w:szCs w:val="20"/>
        </w:rPr>
        <w:t>co-formulants</w:t>
      </w:r>
      <w:proofErr w:type="spellEnd"/>
      <w:r w:rsidRPr="008E1B3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E1B3A">
        <w:rPr>
          <w:rFonts w:ascii="Tahoma" w:hAnsi="Tahoma" w:cs="Tahoma"/>
          <w:color w:val="000000"/>
          <w:sz w:val="20"/>
          <w:szCs w:val="20"/>
        </w:rPr>
        <w:t>are</w:t>
      </w:r>
      <w:proofErr w:type="spellEnd"/>
      <w:r w:rsidRPr="008E1B3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E1B3A">
        <w:rPr>
          <w:rFonts w:ascii="Tahoma" w:hAnsi="Tahoma" w:cs="Tahoma"/>
          <w:color w:val="000000"/>
          <w:sz w:val="20"/>
          <w:szCs w:val="20"/>
        </w:rPr>
        <w:t>used</w:t>
      </w:r>
      <w:proofErr w:type="spellEnd"/>
      <w:r w:rsidRPr="008E1B3A"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 w:rsidRPr="008E1B3A"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 w:rsidRPr="008E1B3A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E1B3A">
        <w:rPr>
          <w:rFonts w:ascii="Tahoma" w:hAnsi="Tahoma" w:cs="Tahoma"/>
          <w:color w:val="000000"/>
          <w:sz w:val="20"/>
          <w:szCs w:val="20"/>
        </w:rPr>
        <w:t>formulation</w:t>
      </w:r>
      <w:proofErr w:type="spellEnd"/>
      <w:r w:rsidRPr="008E1B3A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E1B3A" w:rsidRDefault="008E1B3A" w:rsidP="00DA086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complete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summary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dossier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each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point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data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requirements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plant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protection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(electronic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submission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:rsidR="008E1B3A" w:rsidRDefault="008E1B3A" w:rsidP="00DA086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dRR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word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-format): Part A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risk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management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; national), Part B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data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evaluation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risk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assessment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national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addenda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), Part C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confidential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information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</w:t>
      </w:r>
    </w:p>
    <w:p w:rsidR="008E1B3A" w:rsidRDefault="008E1B3A" w:rsidP="00DA086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submitted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dRR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list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studies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including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studies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covered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data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access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agreement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LoA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data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out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protection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well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own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studies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justify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data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requirements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). 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should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contain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justification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why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data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considered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unprotected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Art. 34 (1). </w:t>
      </w:r>
    </w:p>
    <w:p w:rsidR="008E1B3A" w:rsidRDefault="008E1B3A" w:rsidP="00DA08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[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concerned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member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states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will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need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consider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data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access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whether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reference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authorised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on national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level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]</w:t>
      </w:r>
    </w:p>
    <w:p w:rsidR="008E1B3A" w:rsidRDefault="008E1B3A" w:rsidP="00DA08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E1B3A" w:rsidRDefault="008E1B3A" w:rsidP="00DA08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In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addition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following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documents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may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be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required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where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relevant: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E1B3A" w:rsidRDefault="008E1B3A" w:rsidP="00DA086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Letter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access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LoA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original,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adressed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Federal Office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Food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Safety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8E1B3A" w:rsidRDefault="008E1B3A" w:rsidP="00DA086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Comparative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assessment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active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substance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candidate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substitution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[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authorisations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based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on Art. 34,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exemptions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Art. 50(3)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granted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]</w:t>
      </w:r>
    </w:p>
    <w:p w:rsidR="008E1B3A" w:rsidRDefault="008E1B3A" w:rsidP="00DA086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conclusion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Member State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assessing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equivalence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technical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active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substance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/s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included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plant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protection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E1B3A" w:rsidRDefault="008E1B3A" w:rsidP="00DA086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copy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maximum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residue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level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referred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Art. 7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Regulation (EC)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396/2005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justification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not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supplying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such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information</w:t>
      </w:r>
      <w:proofErr w:type="spellEnd"/>
    </w:p>
    <w:p w:rsidR="008E1B3A" w:rsidRDefault="008E1B3A" w:rsidP="00DA08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E1B3A" w:rsidRDefault="008E1B3A" w:rsidP="00DA08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Additional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general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information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>:</w:t>
      </w:r>
    </w:p>
    <w:p w:rsidR="008E1B3A" w:rsidRDefault="008E1B3A" w:rsidP="00DA08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Assessment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formulation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comparison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Art 34 (2) c (check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comparability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your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formulation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with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formulation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reference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conducted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part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assessment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procedure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after 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made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Where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concluded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not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comparable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submission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appropriate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tests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study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reports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with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Art. 33(3)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required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 </w:t>
      </w: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Uses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shall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either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identical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reduced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number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compared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reference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authorised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applicantion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extension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use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acc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Regulation (EC)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1107/2009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can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submitted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information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regarding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Austrian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reference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please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visit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official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Austrian Plant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Protection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Register: </w:t>
      </w:r>
      <w:hyperlink r:id="rId11" w:history="1">
        <w:r>
          <w:rPr>
            <w:rFonts w:ascii="Tahoma" w:hAnsi="Tahoma" w:cs="Tahoma"/>
            <w:color w:val="0000FF"/>
            <w:sz w:val="20"/>
            <w:szCs w:val="20"/>
          </w:rPr>
          <w:t>https://psmregister.baes.gv.at/psmregister/faces/main</w:t>
        </w:r>
      </w:hyperlink>
      <w:r>
        <w:rPr>
          <w:rFonts w:ascii="Tahoma" w:hAnsi="Tahoma" w:cs="Tahoma"/>
          <w:color w:val="000000"/>
          <w:sz w:val="20"/>
          <w:szCs w:val="20"/>
        </w:rPr>
        <w:t>. [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must not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pending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renewal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procedure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intended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reference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.]</w:t>
      </w: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dRR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must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standalone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document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single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reference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evaluations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other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not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allowed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complete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evaluation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robust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summary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related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must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taken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up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dRR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When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referring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previous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assessments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(e.g.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another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RR)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need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duplicate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assessment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new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submission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Instead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full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reference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should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made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earlier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assessment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brief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summary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provided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The end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points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derived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should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used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risk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assessment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new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further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important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demonstrate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through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robust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summaries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those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assessments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were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conducted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appropriate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standards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(i.e.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Art 36 (1)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complied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with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lastRenderedPageBreak/>
        <w:t>that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relevant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Guidance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Documents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were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respected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time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new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(Technical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guidance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documents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presentation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evaluation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plant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protection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dossiers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format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draft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) Registration Report (SANCO/6895/2009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rev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2.2,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from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26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January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2018)</w:t>
      </w: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dRR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should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include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full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assessment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all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sections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risk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assessment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including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efficacy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following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guidance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applicable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time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only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information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relevant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uses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zone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should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included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Furthermore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exemptions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forth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Art. 34 do not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allow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exemption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from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requirements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forth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Art. 36.1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product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Guidance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document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on zonal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evaluation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mutual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recognition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withdrawal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amendment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authorisations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Regulation (EC)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1107/2009 (SANCO/13169/2010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rev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11,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from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25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January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2021)</w:t>
      </w: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A0860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Following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procedural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steps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set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out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above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please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send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the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by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regular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 mail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to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>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Bund</w:t>
      </w:r>
      <w:r>
        <w:rPr>
          <w:rFonts w:ascii="Tahoma" w:hAnsi="Tahoma" w:cs="Tahoma"/>
          <w:color w:val="000000"/>
          <w:sz w:val="20"/>
          <w:szCs w:val="20"/>
        </w:rPr>
        <w:t xml:space="preserve">esamt für Ernährungssicherheit </w:t>
      </w:r>
    </w:p>
    <w:p w:rsidR="00DA0860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</w:rPr>
        <w:t>Spargelfeldstraße 191</w:t>
      </w: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  <w:u w:val="single"/>
        </w:rPr>
        <w:t>A-1220 Wien</w:t>
      </w: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Further </w:t>
      </w:r>
      <w:proofErr w:type="spellStart"/>
      <w:r>
        <w:rPr>
          <w:rFonts w:ascii="Tahoma" w:hAnsi="Tahoma" w:cs="Tahoma"/>
          <w:color w:val="000000"/>
          <w:sz w:val="20"/>
          <w:szCs w:val="20"/>
          <w:u w:val="single"/>
        </w:rPr>
        <w:t>information</w:t>
      </w:r>
      <w:proofErr w:type="spellEnd"/>
      <w:r>
        <w:rPr>
          <w:rFonts w:ascii="Tahoma" w:hAnsi="Tahoma" w:cs="Tahoma"/>
          <w:color w:val="000000"/>
          <w:sz w:val="20"/>
          <w:szCs w:val="20"/>
          <w:u w:val="single"/>
        </w:rPr>
        <w:t xml:space="preserve">: </w:t>
      </w:r>
    </w:p>
    <w:p w:rsidR="008E1B3A" w:rsidRDefault="008E1B3A" w:rsidP="00DA0860">
      <w:pPr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fee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12" w:history="1">
        <w:r>
          <w:rPr>
            <w:rFonts w:ascii="Tahoma" w:hAnsi="Tahoma" w:cs="Tahoma"/>
            <w:color w:val="0000FF"/>
            <w:sz w:val="20"/>
            <w:szCs w:val="20"/>
          </w:rPr>
          <w:t>https://www.baes.gv.at/en/official-announcements</w:t>
        </w:r>
      </w:hyperlink>
    </w:p>
    <w:p w:rsidR="0008389A" w:rsidRDefault="0008389A" w:rsidP="008E1B3A">
      <w:pPr>
        <w:spacing w:line="240" w:lineRule="auto"/>
        <w:contextualSpacing/>
      </w:pPr>
    </w:p>
    <w:p w:rsidR="0008389A" w:rsidRPr="003E63B7" w:rsidRDefault="0008389A" w:rsidP="0008389A">
      <w:pPr>
        <w:rPr>
          <w:sz w:val="20"/>
          <w:szCs w:val="20"/>
        </w:rPr>
      </w:pPr>
    </w:p>
    <w:p w:rsidR="0008389A" w:rsidRPr="003E63B7" w:rsidRDefault="0008389A" w:rsidP="0008389A">
      <w:pPr>
        <w:tabs>
          <w:tab w:val="left" w:pos="2925"/>
        </w:tabs>
        <w:rPr>
          <w:sz w:val="20"/>
          <w:szCs w:val="20"/>
        </w:rPr>
      </w:pPr>
    </w:p>
    <w:p w:rsidR="0008389A" w:rsidRPr="003E63B7" w:rsidRDefault="0008389A" w:rsidP="0008389A">
      <w:pPr>
        <w:rPr>
          <w:sz w:val="20"/>
          <w:szCs w:val="20"/>
        </w:rPr>
      </w:pPr>
    </w:p>
    <w:p w:rsidR="00FD1CAC" w:rsidRPr="003E63B7" w:rsidRDefault="00FD1CAC" w:rsidP="00BE7476">
      <w:pPr>
        <w:rPr>
          <w:sz w:val="20"/>
          <w:szCs w:val="20"/>
        </w:rPr>
      </w:pPr>
    </w:p>
    <w:sectPr w:rsidR="00FD1CAC" w:rsidRPr="003E63B7" w:rsidSect="004B1C9F">
      <w:footerReference w:type="default" r:id="rId13"/>
      <w:headerReference w:type="first" r:id="rId14"/>
      <w:footerReference w:type="first" r:id="rId15"/>
      <w:pgSz w:w="11906" w:h="16838"/>
      <w:pgMar w:top="2268" w:right="1418" w:bottom="1843" w:left="1418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3F" w:rsidRDefault="00DF7C3F" w:rsidP="000077A9">
      <w:pPr>
        <w:spacing w:after="0" w:line="240" w:lineRule="auto"/>
      </w:pPr>
      <w:r>
        <w:separator/>
      </w:r>
    </w:p>
  </w:endnote>
  <w:endnote w:type="continuationSeparator" w:id="0">
    <w:p w:rsidR="00DF7C3F" w:rsidRDefault="00DF7C3F" w:rsidP="0000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94433"/>
      <w:docPartObj>
        <w:docPartGallery w:val="Page Numbers (Bottom of Page)"/>
        <w:docPartUnique/>
      </w:docPartObj>
    </w:sdtPr>
    <w:sdtEndPr/>
    <w:sdtContent>
      <w:p w:rsidR="005958A0" w:rsidRPr="00A139D1" w:rsidRDefault="005958A0" w:rsidP="00A139D1">
        <w:pPr>
          <w:pStyle w:val="Fuzeile"/>
        </w:pPr>
        <w:r w:rsidRPr="00A139D1">
          <w:fldChar w:fldCharType="begin"/>
        </w:r>
        <w:r w:rsidRPr="00A139D1">
          <w:instrText>PAGE   \* MERGEFORMAT</w:instrText>
        </w:r>
        <w:r w:rsidRPr="00A139D1">
          <w:fldChar w:fldCharType="separate"/>
        </w:r>
        <w:r w:rsidR="00DA0860">
          <w:rPr>
            <w:noProof/>
          </w:rPr>
          <w:t>2</w:t>
        </w:r>
        <w:r w:rsidRPr="00A139D1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558" w:type="dxa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</w:tblPr>
    <w:tblGrid>
      <w:gridCol w:w="8545"/>
      <w:gridCol w:w="1013"/>
    </w:tblGrid>
    <w:sdt>
      <w:sdtPr>
        <w:rPr>
          <w:b w:val="0"/>
        </w:rPr>
        <w:alias w:val="axesPDF - Layout-Tabelle"/>
        <w:tag w:val="axesPDF:ID:Table:ae76b961-f11b-4b86-a264-db48f096984d"/>
        <w:id w:val="501546345"/>
      </w:sdtPr>
      <w:sdtEndPr>
        <w:rPr>
          <w:noProof/>
        </w:rPr>
      </w:sdtEndPr>
      <w:sdtContent>
        <w:tr w:rsidR="0008389A" w:rsidRPr="0008389A" w:rsidTr="00C25B10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rHeight w:hRule="exact" w:val="1371"/>
          </w:trPr>
          <w:tc>
            <w:tcPr>
              <w:tcW w:w="8545" w:type="dxa"/>
            </w:tcPr>
            <w:p w:rsidR="0008389A" w:rsidRPr="003E63B7" w:rsidRDefault="003E63B7" w:rsidP="0008389A">
              <w:pPr>
                <w:pStyle w:val="Kopf-Fusszeilentext8pt"/>
                <w:jc w:val="left"/>
              </w:pPr>
              <w:r w:rsidRPr="003E63B7">
                <w:t>Bundesamt für Ernährungssicherheit (BAES)</w:t>
              </w:r>
            </w:p>
            <w:p w:rsidR="0008389A" w:rsidRPr="0008389A" w:rsidRDefault="0008389A" w:rsidP="0008389A">
              <w:pPr>
                <w:pStyle w:val="Kopf-Fusszeilentext8pt"/>
                <w:jc w:val="left"/>
                <w:rPr>
                  <w:b w:val="0"/>
                </w:rPr>
              </w:pPr>
              <w:r w:rsidRPr="0008389A">
                <w:rPr>
                  <w:b w:val="0"/>
                </w:rPr>
                <w:t xml:space="preserve">Spargelfeldstraße 191 l 1220 Wien l Österreich </w:t>
              </w:r>
              <w:r w:rsidR="00CE7A7A" w:rsidRPr="00CE7A7A">
                <w:rPr>
                  <w:b w:val="0"/>
                </w:rPr>
                <w:t>| www.baes.gv.at</w:t>
              </w:r>
            </w:p>
            <w:p w:rsidR="00CE7A7A" w:rsidRDefault="009804BD" w:rsidP="0008389A">
              <w:pPr>
                <w:pStyle w:val="Kopf-Fusszeilentext8pt"/>
                <w:jc w:val="left"/>
                <w:rPr>
                  <w:b w:val="0"/>
                  <w:lang w:val="en-GB"/>
                </w:rPr>
              </w:pPr>
              <w:r w:rsidRPr="009804BD">
                <w:rPr>
                  <w:b w:val="0"/>
                  <w:lang w:val="en-GB"/>
                </w:rPr>
                <w:t>DVR: 0014541 l BAWAG P.S.K. AG l IBAN: AT85 6000 0000 9605 1513 l BIC: BAWAATWW</w:t>
              </w:r>
              <w:r w:rsidR="00C25B10">
                <w:rPr>
                  <w:b w:val="0"/>
                  <w:lang w:val="en-GB"/>
                </w:rPr>
                <w:t xml:space="preserve"> </w:t>
              </w:r>
            </w:p>
            <w:p w:rsidR="00C25B10" w:rsidRPr="00C25B10" w:rsidRDefault="00C25B10" w:rsidP="00000C0A">
              <w:pPr>
                <w:pStyle w:val="Kopf-Fusszeilentext8pt"/>
                <w:jc w:val="left"/>
                <w:rPr>
                  <w:b w:val="0"/>
                  <w:sz w:val="12"/>
                  <w:szCs w:val="12"/>
                  <w:lang w:val="en-GB"/>
                </w:rPr>
              </w:pPr>
              <w:proofErr w:type="spellStart"/>
              <w:r w:rsidRPr="00C25B10">
                <w:rPr>
                  <w:b w:val="0"/>
                  <w:sz w:val="12"/>
                  <w:szCs w:val="12"/>
                  <w:lang w:val="en-GB"/>
                </w:rPr>
                <w:t>Dokumentnummer</w:t>
              </w:r>
              <w:proofErr w:type="spellEnd"/>
              <w:r w:rsidR="00000C0A">
                <w:rPr>
                  <w:b w:val="0"/>
                  <w:sz w:val="12"/>
                  <w:szCs w:val="12"/>
                  <w:lang w:val="en-GB"/>
                </w:rPr>
                <w:t>:</w:t>
              </w:r>
              <w:r w:rsidRPr="00C25B10">
                <w:rPr>
                  <w:b w:val="0"/>
                  <w:sz w:val="12"/>
                  <w:szCs w:val="12"/>
                  <w:lang w:val="en-GB"/>
                </w:rPr>
                <w:t xml:space="preserve"> 7978_4</w:t>
              </w:r>
            </w:p>
          </w:tc>
          <w:tc>
            <w:tcPr>
              <w:tcW w:w="1013" w:type="dxa"/>
              <w:vAlign w:val="bottom"/>
            </w:tcPr>
            <w:p w:rsidR="0008389A" w:rsidRPr="0008389A" w:rsidRDefault="0008389A" w:rsidP="0008389A">
              <w:pPr>
                <w:pStyle w:val="Kopf-Fusszeilentext8pt"/>
                <w:rPr>
                  <w:b w:val="0"/>
                </w:rPr>
              </w:pPr>
              <w:r w:rsidRPr="0008389A">
                <w:rPr>
                  <w:rFonts w:ascii="Tahoma" w:hAnsi="Tahoma" w:cs="Tahoma"/>
                  <w:noProof/>
                  <w:lang w:eastAsia="de-DE"/>
                </w:rPr>
                <w:drawing>
                  <wp:inline distT="0" distB="0" distL="0" distR="0" wp14:anchorId="15617EB0" wp14:editId="5845E3E7">
                    <wp:extent cx="359410" cy="408305"/>
                    <wp:effectExtent l="0" t="0" r="2540" b="0"/>
                    <wp:docPr id="10" name="Grafik 10" descr="Das österreichische Staatswappen, der Adler, als Zeichen eines staatlichen Betriebes." title="Staatswapp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59410" cy="40830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  <w:p w:rsidR="0008389A" w:rsidRPr="0008389A" w:rsidRDefault="0008389A" w:rsidP="0008389A">
              <w:pPr>
                <w:pStyle w:val="Kopf-Fusszeilentext8pt"/>
                <w:rPr>
                  <w:b w:val="0"/>
                </w:rPr>
              </w:pPr>
              <w:r w:rsidRPr="0008389A">
                <w:fldChar w:fldCharType="begin"/>
              </w:r>
              <w:r w:rsidRPr="0008389A">
                <w:rPr>
                  <w:b w:val="0"/>
                </w:rPr>
                <w:instrText xml:space="preserve"> PAGE   \* MERGEFORMAT </w:instrText>
              </w:r>
              <w:r w:rsidRPr="0008389A">
                <w:fldChar w:fldCharType="separate"/>
              </w:r>
              <w:r w:rsidR="00DA0860">
                <w:rPr>
                  <w:b w:val="0"/>
                  <w:noProof/>
                </w:rPr>
                <w:t>1</w:t>
              </w:r>
              <w:r w:rsidRPr="0008389A">
                <w:fldChar w:fldCharType="end"/>
              </w:r>
              <w:r w:rsidRPr="0008389A">
                <w:rPr>
                  <w:b w:val="0"/>
                </w:rPr>
                <w:t xml:space="preserve"> / </w:t>
              </w:r>
              <w:r w:rsidRPr="0008389A">
                <w:fldChar w:fldCharType="begin"/>
              </w:r>
              <w:r w:rsidRPr="0008389A">
                <w:rPr>
                  <w:b w:val="0"/>
                </w:rPr>
                <w:instrText xml:space="preserve"> NUMPAGES   \* MERGEFORMAT </w:instrText>
              </w:r>
              <w:r w:rsidRPr="0008389A">
                <w:fldChar w:fldCharType="separate"/>
              </w:r>
              <w:r w:rsidR="00DA0860">
                <w:rPr>
                  <w:b w:val="0"/>
                  <w:noProof/>
                </w:rPr>
                <w:t>3</w:t>
              </w:r>
              <w:r w:rsidRPr="0008389A">
                <w:rPr>
                  <w:noProof/>
                </w:rPr>
                <w:fldChar w:fldCharType="end"/>
              </w:r>
            </w:p>
          </w:tc>
        </w:tr>
      </w:sdtContent>
    </w:sdt>
  </w:tbl>
  <w:p w:rsidR="0008389A" w:rsidRDefault="0008389A" w:rsidP="0008389A">
    <w:pPr>
      <w:pStyle w:val="Fuzeile"/>
      <w:spacing w:befor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3F" w:rsidRDefault="00DF7C3F" w:rsidP="000077A9">
      <w:pPr>
        <w:spacing w:after="0" w:line="240" w:lineRule="auto"/>
      </w:pPr>
      <w:r>
        <w:separator/>
      </w:r>
    </w:p>
  </w:footnote>
  <w:footnote w:type="continuationSeparator" w:id="0">
    <w:p w:rsidR="00DF7C3F" w:rsidRDefault="00DF7C3F" w:rsidP="0000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128" w:type="dxa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</w:tblPr>
    <w:tblGrid>
      <w:gridCol w:w="4841"/>
      <w:gridCol w:w="4287"/>
    </w:tblGrid>
    <w:sdt>
      <w:sdtPr>
        <w:rPr>
          <w:b w:val="0"/>
          <w:sz w:val="24"/>
          <w:szCs w:val="22"/>
        </w:rPr>
        <w:alias w:val="axesPDF - Layout-Tabelle"/>
        <w:tag w:val="axesPDF:ID:Table:a02c3dd5-9346-4743-80c5-8729d77401e0"/>
        <w:id w:val="2045245624"/>
        <w:placeholder>
          <w:docPart w:val="05DE25DFC7454BC6B1E77614215F55A5"/>
        </w:placeholder>
      </w:sdtPr>
      <w:sdtEndPr/>
      <w:sdtContent>
        <w:tr w:rsidR="0008389A" w:rsidTr="008C465B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rHeight w:hRule="exact" w:val="1413"/>
          </w:trPr>
          <w:tc>
            <w:tcPr>
              <w:tcW w:w="4841" w:type="dxa"/>
            </w:tcPr>
            <w:p w:rsidR="0008389A" w:rsidRPr="0008389A" w:rsidRDefault="003E63B7" w:rsidP="0008389A">
              <w:pPr>
                <w:pStyle w:val="Kopf-Fusszeilentext8pt"/>
                <w:jc w:val="left"/>
                <w:rPr>
                  <w:b w:val="0"/>
                </w:rPr>
              </w:pPr>
              <w:r>
                <w:rPr>
                  <w:b w:val="0"/>
                </w:rPr>
                <w:t>Spargelfeldstraße 191</w:t>
              </w:r>
            </w:p>
            <w:p w:rsidR="0008389A" w:rsidRPr="0008389A" w:rsidRDefault="00152138" w:rsidP="0008389A">
              <w:pPr>
                <w:pStyle w:val="Kopf-Fusszeilentext8pt"/>
                <w:jc w:val="left"/>
                <w:rPr>
                  <w:b w:val="0"/>
                </w:rPr>
              </w:pPr>
              <w:r>
                <w:rPr>
                  <w:b w:val="0"/>
                </w:rPr>
                <w:t>1220</w:t>
              </w:r>
              <w:r w:rsidR="003E63B7">
                <w:rPr>
                  <w:b w:val="0"/>
                </w:rPr>
                <w:t xml:space="preserve"> Wien, Österreich</w:t>
              </w:r>
            </w:p>
            <w:p w:rsidR="0008389A" w:rsidRDefault="0008389A" w:rsidP="0008389A">
              <w:pPr>
                <w:pStyle w:val="Kopfzeile"/>
                <w:spacing w:before="0" w:line="276" w:lineRule="auto"/>
              </w:pPr>
            </w:p>
          </w:tc>
          <w:tc>
            <w:tcPr>
              <w:tcW w:w="4287" w:type="dxa"/>
            </w:tcPr>
            <w:p w:rsidR="0008389A" w:rsidRDefault="0008389A" w:rsidP="0008389A">
              <w:pPr>
                <w:pStyle w:val="Kopfzeile"/>
                <w:spacing w:before="0"/>
                <w:ind w:left="-1273" w:right="-108"/>
                <w:jc w:val="right"/>
              </w:pPr>
              <w:r>
                <w:rPr>
                  <w:noProof/>
                  <w:lang w:eastAsia="de-DE"/>
                </w:rPr>
                <w:drawing>
                  <wp:inline distT="0" distB="0" distL="0" distR="0" wp14:anchorId="7C6ED517" wp14:editId="42F1CBFD">
                    <wp:extent cx="2128547" cy="744063"/>
                    <wp:effectExtent l="0" t="0" r="5080" b="0"/>
                    <wp:docPr id="9" name="Grafik 9" descr="Logo Bundesamt für Ernährungssicherhei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LOGO BAES_DE-CMYK300dpi.jp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44620" cy="74968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</w:tbl>
  <w:p w:rsidR="00BE7476" w:rsidRDefault="00BE7476" w:rsidP="008C465B">
    <w:pPr>
      <w:pStyle w:val="Kopfzeile"/>
      <w:pBdr>
        <w:bottom w:val="single" w:sz="48" w:space="5" w:color="78B018" w:themeColor="accent1"/>
      </w:pBdr>
      <w:spacing w:before="0"/>
    </w:pPr>
  </w:p>
  <w:p w:rsidR="0008389A" w:rsidRPr="0008389A" w:rsidRDefault="0008389A" w:rsidP="000838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B00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43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66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4E2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7A6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F62B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423E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B8E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A4D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EEC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954FF34"/>
    <w:lvl w:ilvl="0">
      <w:numFmt w:val="bullet"/>
      <w:lvlText w:val="*"/>
      <w:lvlJc w:val="left"/>
    </w:lvl>
  </w:abstractNum>
  <w:abstractNum w:abstractNumId="11" w15:restartNumberingAfterBreak="0">
    <w:nsid w:val="05583004"/>
    <w:multiLevelType w:val="multilevel"/>
    <w:tmpl w:val="EEF848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3C580C" w:themeColor="accent1" w:themeShade="80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8AB465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55255C"/>
    <w:multiLevelType w:val="multilevel"/>
    <w:tmpl w:val="93300FFE"/>
    <w:lvl w:ilvl="0">
      <w:start w:val="1"/>
      <w:numFmt w:val="decimal"/>
      <w:pStyle w:val="Aufzhlungnummeriert"/>
      <w:lvlText w:val="%1"/>
      <w:lvlJc w:val="left"/>
      <w:pPr>
        <w:ind w:left="432" w:hanging="432"/>
      </w:pPr>
      <w:rPr>
        <w:rFonts w:hint="default"/>
        <w:color w:val="3C580C" w:themeColor="accent1" w:themeShade="80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CDA6E43"/>
    <w:multiLevelType w:val="multilevel"/>
    <w:tmpl w:val="17FA31BC"/>
    <w:lvl w:ilvl="0">
      <w:start w:val="1"/>
      <w:numFmt w:val="bullet"/>
      <w:pStyle w:val="Aufzhlung"/>
      <w:lvlText w:val="■"/>
      <w:lvlJc w:val="left"/>
      <w:pPr>
        <w:ind w:left="432" w:hanging="432"/>
      </w:pPr>
      <w:rPr>
        <w:rFonts w:ascii="Arial" w:hAnsi="Arial" w:hint="default"/>
        <w:color w:val="3C580C" w:themeColor="accent1" w:themeShade="80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FF32FEE"/>
    <w:multiLevelType w:val="hybridMultilevel"/>
    <w:tmpl w:val="FC9C9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80D2D"/>
    <w:multiLevelType w:val="multilevel"/>
    <w:tmpl w:val="CA0EF7C6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  <w:color w:val="3C580C" w:themeColor="accent1" w:themeShade="80"/>
        <w:sz w:val="22"/>
        <w:u w:color="598312" w:themeColor="accent1" w:themeShade="BF"/>
      </w:rPr>
    </w:lvl>
    <w:lvl w:ilvl="1">
      <w:start w:val="1"/>
      <w:numFmt w:val="lowerLetter"/>
      <w:pStyle w:val="Listennummer2"/>
      <w:lvlText w:val="%2."/>
      <w:lvlJc w:val="left"/>
      <w:pPr>
        <w:ind w:left="568" w:hanging="284"/>
      </w:pPr>
      <w:rPr>
        <w:rFonts w:hint="default"/>
        <w:color w:val="3C580C" w:themeColor="accent1" w:themeShade="80"/>
        <w:u w:color="598312" w:themeColor="accent1" w:themeShade="BF"/>
      </w:rPr>
    </w:lvl>
    <w:lvl w:ilvl="2">
      <w:start w:val="1"/>
      <w:numFmt w:val="lowerRoman"/>
      <w:pStyle w:val="Listennummer3"/>
      <w:lvlText w:val="%3."/>
      <w:lvlJc w:val="left"/>
      <w:pPr>
        <w:ind w:left="852" w:hanging="284"/>
      </w:pPr>
      <w:rPr>
        <w:rFonts w:hint="default"/>
        <w:color w:val="3C580C" w:themeColor="accent1" w:themeShade="80"/>
      </w:rPr>
    </w:lvl>
    <w:lvl w:ilvl="3">
      <w:start w:val="1"/>
      <w:numFmt w:val="decimal"/>
      <w:pStyle w:val="Listennummer4"/>
      <w:lvlText w:val="%4"/>
      <w:lvlJc w:val="left"/>
      <w:pPr>
        <w:ind w:left="1136" w:hanging="284"/>
      </w:pPr>
      <w:rPr>
        <w:rFonts w:hint="default"/>
        <w:color w:val="3C580C" w:themeColor="accent1" w:themeShade="80"/>
      </w:rPr>
    </w:lvl>
    <w:lvl w:ilvl="4">
      <w:start w:val="1"/>
      <w:numFmt w:val="lowerLetter"/>
      <w:pStyle w:val="Listennummer5"/>
      <w:lvlText w:val="%5"/>
      <w:lvlJc w:val="left"/>
      <w:pPr>
        <w:ind w:left="1420" w:hanging="284"/>
      </w:pPr>
      <w:rPr>
        <w:rFonts w:hint="default"/>
        <w:color w:val="3C580C" w:themeColor="accent1" w:themeShade="80"/>
      </w:rPr>
    </w:lvl>
    <w:lvl w:ilvl="5">
      <w:start w:val="1"/>
      <w:numFmt w:val="lowerRoman"/>
      <w:pStyle w:val="Listennummer6"/>
      <w:lvlText w:val="%6"/>
      <w:lvlJc w:val="left"/>
      <w:pPr>
        <w:ind w:left="1701" w:hanging="281"/>
      </w:pPr>
      <w:rPr>
        <w:rFonts w:hint="default"/>
        <w:color w:val="3C580C" w:themeColor="accent1" w:themeShade="80"/>
      </w:rPr>
    </w:lvl>
    <w:lvl w:ilvl="6">
      <w:start w:val="1"/>
      <w:numFmt w:val="decimal"/>
      <w:pStyle w:val="Listennummer7"/>
      <w:lvlText w:val="%7"/>
      <w:lvlJc w:val="left"/>
      <w:pPr>
        <w:ind w:left="1985" w:hanging="284"/>
      </w:pPr>
      <w:rPr>
        <w:rFonts w:hint="default"/>
        <w:color w:val="3C580C" w:themeColor="accent1" w:themeShade="80"/>
      </w:rPr>
    </w:lvl>
    <w:lvl w:ilvl="7">
      <w:start w:val="1"/>
      <w:numFmt w:val="lowerLetter"/>
      <w:pStyle w:val="Listennummer8"/>
      <w:lvlText w:val="%8"/>
      <w:lvlJc w:val="left"/>
      <w:pPr>
        <w:ind w:left="2268" w:hanging="283"/>
      </w:pPr>
      <w:rPr>
        <w:rFonts w:hint="default"/>
        <w:color w:val="3C580C" w:themeColor="accent1" w:themeShade="80"/>
      </w:rPr>
    </w:lvl>
    <w:lvl w:ilvl="8">
      <w:start w:val="1"/>
      <w:numFmt w:val="lowerRoman"/>
      <w:pStyle w:val="Listennummer9"/>
      <w:lvlText w:val="%9"/>
      <w:lvlJc w:val="left"/>
      <w:pPr>
        <w:ind w:left="2552" w:hanging="284"/>
      </w:pPr>
      <w:rPr>
        <w:rFonts w:hint="default"/>
        <w:color w:val="3C580C" w:themeColor="accent1" w:themeShade="80"/>
      </w:rPr>
    </w:lvl>
  </w:abstractNum>
  <w:abstractNum w:abstractNumId="17" w15:restartNumberingAfterBreak="0">
    <w:nsid w:val="410925F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1409F0"/>
    <w:multiLevelType w:val="hybridMultilevel"/>
    <w:tmpl w:val="E57E8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3215B"/>
    <w:multiLevelType w:val="hybridMultilevel"/>
    <w:tmpl w:val="95485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6309C"/>
    <w:multiLevelType w:val="hybridMultilevel"/>
    <w:tmpl w:val="15CCA0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0700D"/>
    <w:multiLevelType w:val="multilevel"/>
    <w:tmpl w:val="997EFA36"/>
    <w:lvl w:ilvl="0">
      <w:start w:val="1"/>
      <w:numFmt w:val="bullet"/>
      <w:pStyle w:val="Liste"/>
      <w:lvlText w:val="■"/>
      <w:lvlJc w:val="left"/>
      <w:pPr>
        <w:ind w:left="284" w:hanging="284"/>
      </w:pPr>
      <w:rPr>
        <w:rFonts w:ascii="Arial" w:hAnsi="Arial" w:hint="default"/>
        <w:color w:val="3C580C" w:themeColor="accent1" w:themeShade="80"/>
      </w:rPr>
    </w:lvl>
    <w:lvl w:ilvl="1">
      <w:start w:val="1"/>
      <w:numFmt w:val="bullet"/>
      <w:pStyle w:val="Liste2"/>
      <w:lvlText w:val="‒"/>
      <w:lvlJc w:val="left"/>
      <w:pPr>
        <w:ind w:left="568" w:hanging="284"/>
      </w:pPr>
      <w:rPr>
        <w:rFonts w:hint="default"/>
        <w:color w:val="3C580C" w:themeColor="accent1" w:themeShade="80"/>
      </w:rPr>
    </w:lvl>
    <w:lvl w:ilvl="2">
      <w:start w:val="1"/>
      <w:numFmt w:val="bullet"/>
      <w:pStyle w:val="Liste3"/>
      <w:lvlText w:val="▪"/>
      <w:lvlJc w:val="left"/>
      <w:pPr>
        <w:ind w:left="852" w:hanging="284"/>
      </w:pPr>
      <w:rPr>
        <w:rFonts w:ascii="Arial" w:hAnsi="Arial" w:hint="default"/>
        <w:color w:val="3C580C" w:themeColor="accent1" w:themeShade="80"/>
      </w:rPr>
    </w:lvl>
    <w:lvl w:ilvl="3">
      <w:start w:val="1"/>
      <w:numFmt w:val="bullet"/>
      <w:pStyle w:val="Liste4"/>
      <w:lvlText w:val="◦"/>
      <w:lvlJc w:val="left"/>
      <w:pPr>
        <w:ind w:left="1136" w:hanging="284"/>
      </w:pPr>
      <w:rPr>
        <w:rFonts w:ascii="Arial" w:hAnsi="Arial" w:hint="default"/>
        <w:color w:val="3C580C" w:themeColor="accent1" w:themeShade="80"/>
      </w:rPr>
    </w:lvl>
    <w:lvl w:ilvl="4">
      <w:start w:val="1"/>
      <w:numFmt w:val="bullet"/>
      <w:pStyle w:val="Liste5"/>
      <w:lvlText w:val="-"/>
      <w:lvlJc w:val="left"/>
      <w:pPr>
        <w:ind w:left="1420" w:hanging="284"/>
      </w:pPr>
      <w:rPr>
        <w:rFonts w:hint="default"/>
        <w:color w:val="3C580C" w:themeColor="accent1" w:themeShade="80"/>
      </w:rPr>
    </w:lvl>
    <w:lvl w:ilvl="5">
      <w:start w:val="1"/>
      <w:numFmt w:val="bullet"/>
      <w:pStyle w:val="Liste6"/>
      <w:lvlText w:val="-"/>
      <w:lvlJc w:val="left"/>
      <w:pPr>
        <w:ind w:left="1701" w:hanging="281"/>
      </w:pPr>
      <w:rPr>
        <w:rFonts w:hint="default"/>
        <w:color w:val="3C580C" w:themeColor="accent1" w:themeShade="80"/>
      </w:rPr>
    </w:lvl>
    <w:lvl w:ilvl="6">
      <w:start w:val="1"/>
      <w:numFmt w:val="bullet"/>
      <w:pStyle w:val="Liste7"/>
      <w:lvlText w:val="-"/>
      <w:lvlJc w:val="left"/>
      <w:pPr>
        <w:ind w:left="1985" w:hanging="284"/>
      </w:pPr>
      <w:rPr>
        <w:rFonts w:hint="default"/>
        <w:color w:val="3C580C" w:themeColor="accent1" w:themeShade="80"/>
      </w:rPr>
    </w:lvl>
    <w:lvl w:ilvl="7">
      <w:start w:val="1"/>
      <w:numFmt w:val="bullet"/>
      <w:pStyle w:val="Liste8"/>
      <w:lvlText w:val="-"/>
      <w:lvlJc w:val="left"/>
      <w:pPr>
        <w:ind w:left="2268" w:hanging="283"/>
      </w:pPr>
      <w:rPr>
        <w:rFonts w:hint="default"/>
        <w:color w:val="3C580C" w:themeColor="accent1" w:themeShade="80"/>
      </w:rPr>
    </w:lvl>
    <w:lvl w:ilvl="8">
      <w:start w:val="1"/>
      <w:numFmt w:val="bullet"/>
      <w:pStyle w:val="Liste9"/>
      <w:lvlText w:val="-"/>
      <w:lvlJc w:val="left"/>
      <w:pPr>
        <w:ind w:left="2552" w:hanging="284"/>
      </w:pPr>
      <w:rPr>
        <w:rFonts w:hint="default"/>
        <w:color w:val="3C580C" w:themeColor="accent1" w:themeShade="80"/>
      </w:rPr>
    </w:lvl>
  </w:abstractNum>
  <w:abstractNum w:abstractNumId="22" w15:restartNumberingAfterBreak="0">
    <w:nsid w:val="6D5A603B"/>
    <w:multiLevelType w:val="multilevel"/>
    <w:tmpl w:val="54885B56"/>
    <w:lvl w:ilvl="0">
      <w:start w:val="1"/>
      <w:numFmt w:val="decimal"/>
      <w:pStyle w:val="1nummeriert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5"/>
  </w:num>
  <w:num w:numId="40">
    <w:abstractNumId w:val="20"/>
  </w:num>
  <w:num w:numId="41">
    <w:abstractNumId w:val="19"/>
  </w:num>
  <w:num w:numId="4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CC"/>
    <w:rsid w:val="00000C0A"/>
    <w:rsid w:val="000077A9"/>
    <w:rsid w:val="00017690"/>
    <w:rsid w:val="00034F45"/>
    <w:rsid w:val="0003713A"/>
    <w:rsid w:val="00037E77"/>
    <w:rsid w:val="00053645"/>
    <w:rsid w:val="000544FC"/>
    <w:rsid w:val="00055CED"/>
    <w:rsid w:val="00060B33"/>
    <w:rsid w:val="000610D2"/>
    <w:rsid w:val="000611AC"/>
    <w:rsid w:val="000730A0"/>
    <w:rsid w:val="0008389A"/>
    <w:rsid w:val="000862D8"/>
    <w:rsid w:val="00090D7D"/>
    <w:rsid w:val="000912A9"/>
    <w:rsid w:val="000A56E5"/>
    <w:rsid w:val="000B75BC"/>
    <w:rsid w:val="000C20F0"/>
    <w:rsid w:val="000C6186"/>
    <w:rsid w:val="000D2E65"/>
    <w:rsid w:val="000D6A90"/>
    <w:rsid w:val="000E1A85"/>
    <w:rsid w:val="000E6C76"/>
    <w:rsid w:val="001109F9"/>
    <w:rsid w:val="00114880"/>
    <w:rsid w:val="00123145"/>
    <w:rsid w:val="00123C29"/>
    <w:rsid w:val="00125E0C"/>
    <w:rsid w:val="00126CA7"/>
    <w:rsid w:val="00127F0B"/>
    <w:rsid w:val="00132033"/>
    <w:rsid w:val="001321A0"/>
    <w:rsid w:val="001510DB"/>
    <w:rsid w:val="00152138"/>
    <w:rsid w:val="00172848"/>
    <w:rsid w:val="001743EA"/>
    <w:rsid w:val="00175DD1"/>
    <w:rsid w:val="00192D2D"/>
    <w:rsid w:val="001939C6"/>
    <w:rsid w:val="001950C9"/>
    <w:rsid w:val="001A0325"/>
    <w:rsid w:val="001A0F30"/>
    <w:rsid w:val="001A1DA3"/>
    <w:rsid w:val="001A54AF"/>
    <w:rsid w:val="001B1D8B"/>
    <w:rsid w:val="001C074C"/>
    <w:rsid w:val="001C4E57"/>
    <w:rsid w:val="001C5008"/>
    <w:rsid w:val="001C54BF"/>
    <w:rsid w:val="001D4F11"/>
    <w:rsid w:val="001E121D"/>
    <w:rsid w:val="001E1B3C"/>
    <w:rsid w:val="001E5EB4"/>
    <w:rsid w:val="001F2865"/>
    <w:rsid w:val="00204F50"/>
    <w:rsid w:val="00206A03"/>
    <w:rsid w:val="00234042"/>
    <w:rsid w:val="002403BA"/>
    <w:rsid w:val="00245DF8"/>
    <w:rsid w:val="00246762"/>
    <w:rsid w:val="00252889"/>
    <w:rsid w:val="0025426A"/>
    <w:rsid w:val="0026022D"/>
    <w:rsid w:val="0026160A"/>
    <w:rsid w:val="0027167F"/>
    <w:rsid w:val="00276CA1"/>
    <w:rsid w:val="002806AC"/>
    <w:rsid w:val="00285345"/>
    <w:rsid w:val="0029224B"/>
    <w:rsid w:val="002A0278"/>
    <w:rsid w:val="002A1347"/>
    <w:rsid w:val="002A7369"/>
    <w:rsid w:val="002B0919"/>
    <w:rsid w:val="002B36FB"/>
    <w:rsid w:val="002C492B"/>
    <w:rsid w:val="002D179F"/>
    <w:rsid w:val="002D4227"/>
    <w:rsid w:val="002D5757"/>
    <w:rsid w:val="002E4CC6"/>
    <w:rsid w:val="002E4F9A"/>
    <w:rsid w:val="002F4A14"/>
    <w:rsid w:val="0030538C"/>
    <w:rsid w:val="0030539C"/>
    <w:rsid w:val="003146AE"/>
    <w:rsid w:val="00326BD4"/>
    <w:rsid w:val="00333144"/>
    <w:rsid w:val="00334ABE"/>
    <w:rsid w:val="00343933"/>
    <w:rsid w:val="003550E2"/>
    <w:rsid w:val="00357CA9"/>
    <w:rsid w:val="00360E11"/>
    <w:rsid w:val="00371D4A"/>
    <w:rsid w:val="00391475"/>
    <w:rsid w:val="003914ED"/>
    <w:rsid w:val="00392ACC"/>
    <w:rsid w:val="00393B91"/>
    <w:rsid w:val="00397B56"/>
    <w:rsid w:val="003A598A"/>
    <w:rsid w:val="003A6CC1"/>
    <w:rsid w:val="003B1C1F"/>
    <w:rsid w:val="003B26D6"/>
    <w:rsid w:val="003B46AD"/>
    <w:rsid w:val="003C4B01"/>
    <w:rsid w:val="003C7DA6"/>
    <w:rsid w:val="003D45D1"/>
    <w:rsid w:val="003D52B7"/>
    <w:rsid w:val="003D772D"/>
    <w:rsid w:val="003D790A"/>
    <w:rsid w:val="003E3507"/>
    <w:rsid w:val="003E4153"/>
    <w:rsid w:val="003E4256"/>
    <w:rsid w:val="003E63B7"/>
    <w:rsid w:val="003E6928"/>
    <w:rsid w:val="0040258D"/>
    <w:rsid w:val="00405E19"/>
    <w:rsid w:val="00416B91"/>
    <w:rsid w:val="00420FB3"/>
    <w:rsid w:val="004267C4"/>
    <w:rsid w:val="004517BF"/>
    <w:rsid w:val="00451BD2"/>
    <w:rsid w:val="00454806"/>
    <w:rsid w:val="00474DA0"/>
    <w:rsid w:val="0048026C"/>
    <w:rsid w:val="004856D6"/>
    <w:rsid w:val="004872F1"/>
    <w:rsid w:val="004967E6"/>
    <w:rsid w:val="00497DFD"/>
    <w:rsid w:val="004A1360"/>
    <w:rsid w:val="004B1C9F"/>
    <w:rsid w:val="004E1F1B"/>
    <w:rsid w:val="004E535A"/>
    <w:rsid w:val="004F5451"/>
    <w:rsid w:val="004F588C"/>
    <w:rsid w:val="00500800"/>
    <w:rsid w:val="00502B7C"/>
    <w:rsid w:val="005035EF"/>
    <w:rsid w:val="0051205F"/>
    <w:rsid w:val="00512DA3"/>
    <w:rsid w:val="0051581A"/>
    <w:rsid w:val="005272C1"/>
    <w:rsid w:val="00534D7B"/>
    <w:rsid w:val="005356D3"/>
    <w:rsid w:val="00537083"/>
    <w:rsid w:val="00540776"/>
    <w:rsid w:val="00541725"/>
    <w:rsid w:val="00546505"/>
    <w:rsid w:val="00580959"/>
    <w:rsid w:val="00594D1A"/>
    <w:rsid w:val="00594E35"/>
    <w:rsid w:val="005958A0"/>
    <w:rsid w:val="005A221E"/>
    <w:rsid w:val="005A4646"/>
    <w:rsid w:val="005A7D51"/>
    <w:rsid w:val="005B5D00"/>
    <w:rsid w:val="005B7EDD"/>
    <w:rsid w:val="005B7F50"/>
    <w:rsid w:val="005C1E11"/>
    <w:rsid w:val="005C69FA"/>
    <w:rsid w:val="005E6146"/>
    <w:rsid w:val="00601819"/>
    <w:rsid w:val="00601EFF"/>
    <w:rsid w:val="006044BD"/>
    <w:rsid w:val="00612295"/>
    <w:rsid w:val="00615E2D"/>
    <w:rsid w:val="006301D9"/>
    <w:rsid w:val="00634BCC"/>
    <w:rsid w:val="006357ED"/>
    <w:rsid w:val="00645E7E"/>
    <w:rsid w:val="00647229"/>
    <w:rsid w:val="00657982"/>
    <w:rsid w:val="0066238F"/>
    <w:rsid w:val="00666789"/>
    <w:rsid w:val="006746E3"/>
    <w:rsid w:val="006800AA"/>
    <w:rsid w:val="006841C4"/>
    <w:rsid w:val="006963AF"/>
    <w:rsid w:val="006A153C"/>
    <w:rsid w:val="006B1096"/>
    <w:rsid w:val="006B113F"/>
    <w:rsid w:val="006B65D0"/>
    <w:rsid w:val="006C03FD"/>
    <w:rsid w:val="006C68A1"/>
    <w:rsid w:val="006D2EC9"/>
    <w:rsid w:val="006E52A2"/>
    <w:rsid w:val="006F74B2"/>
    <w:rsid w:val="00726402"/>
    <w:rsid w:val="007374CF"/>
    <w:rsid w:val="00740991"/>
    <w:rsid w:val="00743935"/>
    <w:rsid w:val="00744910"/>
    <w:rsid w:val="00750B67"/>
    <w:rsid w:val="0075715B"/>
    <w:rsid w:val="007717EE"/>
    <w:rsid w:val="00787F92"/>
    <w:rsid w:val="00795470"/>
    <w:rsid w:val="00795ED2"/>
    <w:rsid w:val="007A405F"/>
    <w:rsid w:val="007B5067"/>
    <w:rsid w:val="007C0AF7"/>
    <w:rsid w:val="007C2FFC"/>
    <w:rsid w:val="007C5958"/>
    <w:rsid w:val="007D1D03"/>
    <w:rsid w:val="007D3C1A"/>
    <w:rsid w:val="007D3E09"/>
    <w:rsid w:val="007E3407"/>
    <w:rsid w:val="008011CB"/>
    <w:rsid w:val="008103CE"/>
    <w:rsid w:val="0081194D"/>
    <w:rsid w:val="00815C1F"/>
    <w:rsid w:val="008235C8"/>
    <w:rsid w:val="008247B1"/>
    <w:rsid w:val="00826F38"/>
    <w:rsid w:val="008328C1"/>
    <w:rsid w:val="00836FDA"/>
    <w:rsid w:val="00853F3B"/>
    <w:rsid w:val="00857B8E"/>
    <w:rsid w:val="0086144B"/>
    <w:rsid w:val="0086199B"/>
    <w:rsid w:val="0087466B"/>
    <w:rsid w:val="008808A5"/>
    <w:rsid w:val="00881322"/>
    <w:rsid w:val="008846CA"/>
    <w:rsid w:val="00885938"/>
    <w:rsid w:val="008954E5"/>
    <w:rsid w:val="00896C2F"/>
    <w:rsid w:val="008A5B97"/>
    <w:rsid w:val="008B055C"/>
    <w:rsid w:val="008B1D6D"/>
    <w:rsid w:val="008C3619"/>
    <w:rsid w:val="008C465B"/>
    <w:rsid w:val="008E0B26"/>
    <w:rsid w:val="008E0FCA"/>
    <w:rsid w:val="008E1B3A"/>
    <w:rsid w:val="008E224C"/>
    <w:rsid w:val="008F574C"/>
    <w:rsid w:val="00907B39"/>
    <w:rsid w:val="0093194B"/>
    <w:rsid w:val="00934CE0"/>
    <w:rsid w:val="009359AA"/>
    <w:rsid w:val="00937110"/>
    <w:rsid w:val="00941372"/>
    <w:rsid w:val="009428DE"/>
    <w:rsid w:val="009501C1"/>
    <w:rsid w:val="00953351"/>
    <w:rsid w:val="00960DB8"/>
    <w:rsid w:val="00974E04"/>
    <w:rsid w:val="009804BD"/>
    <w:rsid w:val="0098247E"/>
    <w:rsid w:val="0098409A"/>
    <w:rsid w:val="009971F9"/>
    <w:rsid w:val="009A1B8E"/>
    <w:rsid w:val="009A47FE"/>
    <w:rsid w:val="009A6B9E"/>
    <w:rsid w:val="009B14A2"/>
    <w:rsid w:val="009B36B4"/>
    <w:rsid w:val="009C2328"/>
    <w:rsid w:val="009C3219"/>
    <w:rsid w:val="009E5084"/>
    <w:rsid w:val="009F49F4"/>
    <w:rsid w:val="00A11818"/>
    <w:rsid w:val="00A139D1"/>
    <w:rsid w:val="00A1585E"/>
    <w:rsid w:val="00A26594"/>
    <w:rsid w:val="00A3582C"/>
    <w:rsid w:val="00A46E60"/>
    <w:rsid w:val="00A50E90"/>
    <w:rsid w:val="00A53111"/>
    <w:rsid w:val="00A62627"/>
    <w:rsid w:val="00A7037A"/>
    <w:rsid w:val="00A72AF4"/>
    <w:rsid w:val="00AA391E"/>
    <w:rsid w:val="00AB4B75"/>
    <w:rsid w:val="00AE0237"/>
    <w:rsid w:val="00AE2782"/>
    <w:rsid w:val="00AE63DD"/>
    <w:rsid w:val="00AF15CC"/>
    <w:rsid w:val="00AF6183"/>
    <w:rsid w:val="00B00985"/>
    <w:rsid w:val="00B03A61"/>
    <w:rsid w:val="00B03F3C"/>
    <w:rsid w:val="00B1110C"/>
    <w:rsid w:val="00B152B8"/>
    <w:rsid w:val="00B16B93"/>
    <w:rsid w:val="00B1798B"/>
    <w:rsid w:val="00B2412F"/>
    <w:rsid w:val="00B2477A"/>
    <w:rsid w:val="00B53D79"/>
    <w:rsid w:val="00B60DD4"/>
    <w:rsid w:val="00B66A73"/>
    <w:rsid w:val="00B671B8"/>
    <w:rsid w:val="00B70050"/>
    <w:rsid w:val="00B76F41"/>
    <w:rsid w:val="00B826BA"/>
    <w:rsid w:val="00B86804"/>
    <w:rsid w:val="00B90AA4"/>
    <w:rsid w:val="00B92A23"/>
    <w:rsid w:val="00B94A0E"/>
    <w:rsid w:val="00B954C8"/>
    <w:rsid w:val="00BA5642"/>
    <w:rsid w:val="00BB06BF"/>
    <w:rsid w:val="00BB3A88"/>
    <w:rsid w:val="00BC31F2"/>
    <w:rsid w:val="00BD1F0F"/>
    <w:rsid w:val="00BD3077"/>
    <w:rsid w:val="00BD6020"/>
    <w:rsid w:val="00BE7476"/>
    <w:rsid w:val="00BE76CB"/>
    <w:rsid w:val="00BF0357"/>
    <w:rsid w:val="00BF5722"/>
    <w:rsid w:val="00BF67DF"/>
    <w:rsid w:val="00C04D00"/>
    <w:rsid w:val="00C25B10"/>
    <w:rsid w:val="00C30A58"/>
    <w:rsid w:val="00C4150C"/>
    <w:rsid w:val="00C4679C"/>
    <w:rsid w:val="00C46BA2"/>
    <w:rsid w:val="00C53026"/>
    <w:rsid w:val="00C536AD"/>
    <w:rsid w:val="00C5690D"/>
    <w:rsid w:val="00C60F64"/>
    <w:rsid w:val="00C62E91"/>
    <w:rsid w:val="00C65250"/>
    <w:rsid w:val="00C65C43"/>
    <w:rsid w:val="00C734CB"/>
    <w:rsid w:val="00C82613"/>
    <w:rsid w:val="00C8365C"/>
    <w:rsid w:val="00C839B2"/>
    <w:rsid w:val="00C87861"/>
    <w:rsid w:val="00C94ACD"/>
    <w:rsid w:val="00C963C5"/>
    <w:rsid w:val="00CA10CE"/>
    <w:rsid w:val="00CB6564"/>
    <w:rsid w:val="00CC5078"/>
    <w:rsid w:val="00CC7EE9"/>
    <w:rsid w:val="00CD2174"/>
    <w:rsid w:val="00CE254A"/>
    <w:rsid w:val="00CE606B"/>
    <w:rsid w:val="00CE7A7A"/>
    <w:rsid w:val="00D04981"/>
    <w:rsid w:val="00D13BBB"/>
    <w:rsid w:val="00D14566"/>
    <w:rsid w:val="00D1474F"/>
    <w:rsid w:val="00D17D7F"/>
    <w:rsid w:val="00D20755"/>
    <w:rsid w:val="00D2347C"/>
    <w:rsid w:val="00D23DC5"/>
    <w:rsid w:val="00D44004"/>
    <w:rsid w:val="00D53BF2"/>
    <w:rsid w:val="00D55EF6"/>
    <w:rsid w:val="00D56008"/>
    <w:rsid w:val="00D739B3"/>
    <w:rsid w:val="00D83FC6"/>
    <w:rsid w:val="00D90F09"/>
    <w:rsid w:val="00D95565"/>
    <w:rsid w:val="00D96A30"/>
    <w:rsid w:val="00DA0860"/>
    <w:rsid w:val="00DB5DAF"/>
    <w:rsid w:val="00DC5869"/>
    <w:rsid w:val="00DD3A30"/>
    <w:rsid w:val="00DE1B9E"/>
    <w:rsid w:val="00DE4935"/>
    <w:rsid w:val="00DE4C61"/>
    <w:rsid w:val="00DE7700"/>
    <w:rsid w:val="00DF045E"/>
    <w:rsid w:val="00DF7C3F"/>
    <w:rsid w:val="00E104C1"/>
    <w:rsid w:val="00E16E4E"/>
    <w:rsid w:val="00E25F59"/>
    <w:rsid w:val="00E26C2E"/>
    <w:rsid w:val="00E30786"/>
    <w:rsid w:val="00E36D72"/>
    <w:rsid w:val="00E43066"/>
    <w:rsid w:val="00E7221B"/>
    <w:rsid w:val="00E734E4"/>
    <w:rsid w:val="00E75863"/>
    <w:rsid w:val="00E758BB"/>
    <w:rsid w:val="00E86740"/>
    <w:rsid w:val="00E871C4"/>
    <w:rsid w:val="00EA5DC8"/>
    <w:rsid w:val="00EB21F6"/>
    <w:rsid w:val="00EC489E"/>
    <w:rsid w:val="00EC5891"/>
    <w:rsid w:val="00EE2DF3"/>
    <w:rsid w:val="00EE6739"/>
    <w:rsid w:val="00EF7C6C"/>
    <w:rsid w:val="00F006EC"/>
    <w:rsid w:val="00F02C7E"/>
    <w:rsid w:val="00F11537"/>
    <w:rsid w:val="00F20089"/>
    <w:rsid w:val="00F24318"/>
    <w:rsid w:val="00F257CA"/>
    <w:rsid w:val="00F35F18"/>
    <w:rsid w:val="00F36036"/>
    <w:rsid w:val="00F52328"/>
    <w:rsid w:val="00F55760"/>
    <w:rsid w:val="00F55AC6"/>
    <w:rsid w:val="00F607ED"/>
    <w:rsid w:val="00F607FB"/>
    <w:rsid w:val="00F66DB2"/>
    <w:rsid w:val="00F7779F"/>
    <w:rsid w:val="00F801DD"/>
    <w:rsid w:val="00F80EAC"/>
    <w:rsid w:val="00F911EE"/>
    <w:rsid w:val="00F94C12"/>
    <w:rsid w:val="00FA15BF"/>
    <w:rsid w:val="00FA22F5"/>
    <w:rsid w:val="00FB3C05"/>
    <w:rsid w:val="00FC0200"/>
    <w:rsid w:val="00FD1CAC"/>
    <w:rsid w:val="00FE0FCA"/>
    <w:rsid w:val="00FE6E8B"/>
    <w:rsid w:val="00FF11A6"/>
    <w:rsid w:val="00FF4C43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351E33"/>
  <w15:chartTrackingRefBased/>
  <w15:docId w15:val="{BD4497EA-B0A2-4A8F-97C6-DEFD94F2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69" w:unhideWhenUsed="1"/>
    <w:lsdException w:name="toc 5" w:semiHidden="1" w:uiPriority="69" w:unhideWhenUsed="1"/>
    <w:lsdException w:name="toc 6" w:semiHidden="1" w:uiPriority="69" w:unhideWhenUsed="1"/>
    <w:lsdException w:name="toc 7" w:semiHidden="1" w:uiPriority="69" w:unhideWhenUsed="1"/>
    <w:lsdException w:name="toc 8" w:semiHidden="1" w:uiPriority="69" w:unhideWhenUsed="1"/>
    <w:lsdException w:name="toc 9" w:semiHidden="1" w:uiPriority="6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7" w:unhideWhenUsed="1"/>
    <w:lsdException w:name="footer" w:semiHidden="1" w:unhideWhenUsed="1"/>
    <w:lsdException w:name="index heading" w:semiHidden="1" w:unhideWhenUsed="1"/>
    <w:lsdException w:name="caption" w:semiHidden="1" w:uiPriority="2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4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4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40"/>
    <w:lsdException w:name="Subtle Reference" w:uiPriority="40"/>
    <w:lsdException w:name="Intense Reference" w:uiPriority="40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3"/>
    <w:qFormat/>
    <w:rsid w:val="002E4F9A"/>
    <w:pPr>
      <w:spacing w:before="240" w:after="120" w:line="300" w:lineRule="auto"/>
    </w:pPr>
    <w:rPr>
      <w:sz w:val="24"/>
    </w:rPr>
  </w:style>
  <w:style w:type="paragraph" w:styleId="berschrift1">
    <w:name w:val="heading 1"/>
    <w:basedOn w:val="berschrift"/>
    <w:next w:val="Standard"/>
    <w:link w:val="berschrift1Zchn"/>
    <w:uiPriority w:val="19"/>
    <w:qFormat/>
    <w:rsid w:val="005E6146"/>
    <w:pPr>
      <w:pBdr>
        <w:bottom w:val="single" w:sz="48" w:space="1" w:color="78B018" w:themeColor="accent1"/>
      </w:pBdr>
      <w:outlineLvl w:val="0"/>
    </w:pPr>
    <w:rPr>
      <w:rFonts w:eastAsiaTheme="majorEastAsia" w:cstheme="majorBidi"/>
      <w:color w:val="171717" w:themeColor="background1" w:themeShade="1A"/>
      <w:szCs w:val="32"/>
    </w:rPr>
  </w:style>
  <w:style w:type="paragraph" w:styleId="berschrift2">
    <w:name w:val="heading 2"/>
    <w:basedOn w:val="berschrift"/>
    <w:next w:val="Standard"/>
    <w:link w:val="berschrift2Zchn"/>
    <w:uiPriority w:val="19"/>
    <w:qFormat/>
    <w:rsid w:val="00BD1F0F"/>
    <w:pPr>
      <w:pBdr>
        <w:bottom w:val="single" w:sz="24" w:space="1" w:color="78B018" w:themeColor="accent1"/>
      </w:pBdr>
      <w:outlineLvl w:val="1"/>
    </w:pPr>
    <w:rPr>
      <w:sz w:val="32"/>
      <w:szCs w:val="26"/>
    </w:rPr>
  </w:style>
  <w:style w:type="paragraph" w:styleId="berschrift3">
    <w:name w:val="heading 3"/>
    <w:basedOn w:val="berschrift"/>
    <w:next w:val="Standard"/>
    <w:link w:val="berschrift3Zchn"/>
    <w:uiPriority w:val="19"/>
    <w:qFormat/>
    <w:rsid w:val="00BD1F0F"/>
    <w:pPr>
      <w:pBdr>
        <w:bottom w:val="single" w:sz="12" w:space="1" w:color="78B018" w:themeColor="accent1"/>
      </w:pBdr>
      <w:outlineLvl w:val="2"/>
    </w:pPr>
    <w:rPr>
      <w:sz w:val="28"/>
      <w:szCs w:val="24"/>
    </w:rPr>
  </w:style>
  <w:style w:type="paragraph" w:styleId="berschrift4">
    <w:name w:val="heading 4"/>
    <w:basedOn w:val="berschrift"/>
    <w:next w:val="Standard"/>
    <w:link w:val="berschrift4Zchn"/>
    <w:uiPriority w:val="19"/>
    <w:unhideWhenUsed/>
    <w:qFormat/>
    <w:rsid w:val="00C963C5"/>
    <w:pPr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berschrift"/>
    <w:next w:val="Standard"/>
    <w:link w:val="berschrift5Zchn"/>
    <w:uiPriority w:val="19"/>
    <w:unhideWhenUsed/>
    <w:rsid w:val="00C963C5"/>
    <w:pPr>
      <w:outlineLvl w:val="4"/>
    </w:pPr>
    <w:rPr>
      <w:rFonts w:eastAsiaTheme="majorEastAsia" w:cstheme="majorBidi"/>
      <w:sz w:val="24"/>
    </w:rPr>
  </w:style>
  <w:style w:type="paragraph" w:styleId="berschrift6">
    <w:name w:val="heading 6"/>
    <w:basedOn w:val="Standard"/>
    <w:next w:val="Standard"/>
    <w:link w:val="berschrift6Zchn"/>
    <w:uiPriority w:val="19"/>
    <w:semiHidden/>
    <w:qFormat/>
    <w:rsid w:val="00F257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B57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qFormat/>
    <w:rsid w:val="00F257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3B57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qFormat/>
    <w:rsid w:val="00F257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8312" w:themeColor="accent1" w:themeShade="BF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qFormat/>
    <w:rsid w:val="00F257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598312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27"/>
    <w:unhideWhenUsed/>
    <w:qFormat/>
    <w:rsid w:val="00645E7E"/>
    <w:pPr>
      <w:spacing w:before="120" w:line="240" w:lineRule="auto"/>
    </w:pPr>
    <w:rPr>
      <w:iCs/>
      <w:color w:val="3C580C" w:themeColor="accent1" w:themeShade="80"/>
      <w:szCs w:val="18"/>
    </w:rPr>
  </w:style>
  <w:style w:type="table" w:styleId="Tabellenraster">
    <w:name w:val="Table Grid"/>
    <w:aliases w:val="BAES Tabellenraster"/>
    <w:basedOn w:val="NormaleTabelle"/>
    <w:uiPriority w:val="39"/>
    <w:rsid w:val="00053645"/>
    <w:pPr>
      <w:spacing w:before="120" w:after="120" w:line="240" w:lineRule="auto"/>
      <w:jc w:val="center"/>
    </w:pPr>
    <w:rPr>
      <w:sz w:val="24"/>
    </w:rPr>
    <w:tblPr>
      <w:tblBorders>
        <w:top w:val="single" w:sz="4" w:space="0" w:color="598312" w:themeColor="accent1" w:themeShade="BF"/>
        <w:bottom w:val="single" w:sz="4" w:space="0" w:color="598312" w:themeColor="accent1" w:themeShade="BF"/>
        <w:insideH w:val="single" w:sz="4" w:space="0" w:color="598312" w:themeColor="accent1" w:themeShade="BF"/>
        <w:insideV w:val="single" w:sz="4" w:space="0" w:color="598312" w:themeColor="accent1" w:themeShade="BF"/>
      </w:tblBorders>
    </w:tblPr>
    <w:tcPr>
      <w:vAlign w:val="center"/>
    </w:tcPr>
    <w:tblStylePr w:type="firstRow">
      <w:rPr>
        <w:b/>
      </w:rPr>
    </w:tblStylePr>
  </w:style>
  <w:style w:type="table" w:styleId="Gitternetztabelle5dunkelAkzent1">
    <w:name w:val="Grid Table 5 Dark Accent 1"/>
    <w:basedOn w:val="NormaleTabelle"/>
    <w:uiPriority w:val="50"/>
    <w:rsid w:val="007717EE"/>
    <w:pPr>
      <w:spacing w:after="0" w:line="240" w:lineRule="auto"/>
    </w:pPr>
    <w:tblPr>
      <w:tblStyleRowBandSize w:val="1"/>
      <w:tblStyleColBandSize w:val="1"/>
      <w:tblBorders>
        <w:top w:val="single" w:sz="4" w:space="0" w:color="E4E4E4" w:themeColor="background1"/>
        <w:left w:val="single" w:sz="4" w:space="0" w:color="E4E4E4" w:themeColor="background1"/>
        <w:bottom w:val="single" w:sz="4" w:space="0" w:color="E4E4E4" w:themeColor="background1"/>
        <w:right w:val="single" w:sz="4" w:space="0" w:color="E4E4E4" w:themeColor="background1"/>
        <w:insideH w:val="single" w:sz="4" w:space="0" w:color="E4E4E4" w:themeColor="background1"/>
        <w:insideV w:val="single" w:sz="4" w:space="0" w:color="E4E4E4" w:themeColor="background1"/>
      </w:tblBorders>
    </w:tblPr>
    <w:tcPr>
      <w:shd w:val="clear" w:color="auto" w:fill="E6F7C8" w:themeFill="accent1" w:themeFillTint="33"/>
    </w:tcPr>
    <w:tblStylePr w:type="firstRow">
      <w:rPr>
        <w:b w:val="0"/>
        <w:bCs/>
        <w:color w:val="E4E4E4" w:themeColor="background1"/>
      </w:rPr>
      <w:tblPr/>
      <w:tcPr>
        <w:tcBorders>
          <w:top w:val="single" w:sz="4" w:space="0" w:color="E4E4E4" w:themeColor="background1"/>
          <w:left w:val="single" w:sz="4" w:space="0" w:color="E4E4E4" w:themeColor="background1"/>
          <w:right w:val="single" w:sz="4" w:space="0" w:color="E4E4E4" w:themeColor="background1"/>
          <w:insideH w:val="nil"/>
          <w:insideV w:val="nil"/>
        </w:tcBorders>
        <w:shd w:val="clear" w:color="auto" w:fill="78B018" w:themeFill="accent1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sz="4" w:space="0" w:color="E4E4E4" w:themeColor="background1"/>
          <w:bottom w:val="single" w:sz="4" w:space="0" w:color="E4E4E4" w:themeColor="background1"/>
          <w:right w:val="single" w:sz="4" w:space="0" w:color="E4E4E4" w:themeColor="background1"/>
          <w:insideH w:val="nil"/>
          <w:insideV w:val="nil"/>
        </w:tcBorders>
        <w:shd w:val="clear" w:color="auto" w:fill="78B018" w:themeFill="accent1"/>
      </w:tcPr>
    </w:tblStylePr>
    <w:tblStylePr w:type="firstCol">
      <w:rPr>
        <w:b w:val="0"/>
        <w:bCs/>
        <w:color w:val="E4E4E4" w:themeColor="background1"/>
      </w:rPr>
      <w:tblPr/>
      <w:tcPr>
        <w:tcBorders>
          <w:top w:val="single" w:sz="4" w:space="0" w:color="E4E4E4" w:themeColor="background1"/>
          <w:left w:val="single" w:sz="4" w:space="0" w:color="E4E4E4" w:themeColor="background1"/>
          <w:bottom w:val="single" w:sz="4" w:space="0" w:color="E4E4E4" w:themeColor="background1"/>
          <w:insideV w:val="nil"/>
        </w:tcBorders>
        <w:shd w:val="clear" w:color="auto" w:fill="78B018" w:themeFill="accent1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sz="4" w:space="0" w:color="E4E4E4" w:themeColor="background1"/>
          <w:bottom w:val="single" w:sz="4" w:space="0" w:color="E4E4E4" w:themeColor="background1"/>
          <w:right w:val="single" w:sz="4" w:space="0" w:color="E4E4E4" w:themeColor="background1"/>
          <w:insideV w:val="nil"/>
        </w:tcBorders>
        <w:shd w:val="clear" w:color="auto" w:fill="78B018" w:themeFill="accent1"/>
      </w:tcPr>
    </w:tblStylePr>
    <w:tblStylePr w:type="band1Vert">
      <w:tblPr/>
      <w:tcPr>
        <w:shd w:val="clear" w:color="auto" w:fill="CDF091" w:themeFill="accent1" w:themeFillTint="66"/>
      </w:tcPr>
    </w:tblStylePr>
    <w:tblStylePr w:type="band1Horz">
      <w:tblPr/>
      <w:tcPr>
        <w:shd w:val="clear" w:color="auto" w:fill="CDF091" w:themeFill="accent1" w:themeFillTint="66"/>
      </w:tcPr>
    </w:tblStylePr>
  </w:style>
  <w:style w:type="paragraph" w:customStyle="1" w:styleId="HeaderEbene2">
    <w:name w:val="Header → Ebene 2"/>
    <w:basedOn w:val="Standard"/>
    <w:uiPriority w:val="49"/>
    <w:rsid w:val="00172848"/>
    <w:pPr>
      <w:spacing w:before="0" w:after="0" w:line="240" w:lineRule="auto"/>
    </w:pPr>
    <w:rPr>
      <w:bCs/>
      <w:color w:val="000000" w:themeColor="text1"/>
    </w:rPr>
  </w:style>
  <w:style w:type="paragraph" w:styleId="Titel">
    <w:name w:val="Title"/>
    <w:basedOn w:val="Standard"/>
    <w:link w:val="TitelZchn"/>
    <w:uiPriority w:val="94"/>
    <w:qFormat/>
    <w:rsid w:val="00750B67"/>
    <w:pPr>
      <w:spacing w:before="3480" w:after="0"/>
      <w:contextualSpacing/>
      <w:jc w:val="right"/>
    </w:pPr>
    <w:rPr>
      <w:rFonts w:ascii="Segoe UI Light" w:eastAsiaTheme="majorEastAsia" w:hAnsi="Segoe UI Light" w:cstheme="majorBidi"/>
      <w:color w:val="393939" w:themeColor="background1" w:themeShade="40"/>
      <w:spacing w:val="-10"/>
      <w:kern w:val="28"/>
      <w:sz w:val="68"/>
      <w:szCs w:val="56"/>
    </w:rPr>
  </w:style>
  <w:style w:type="character" w:customStyle="1" w:styleId="TitelZchn">
    <w:name w:val="Titel Zchn"/>
    <w:basedOn w:val="Absatz-Standardschriftart"/>
    <w:link w:val="Titel"/>
    <w:uiPriority w:val="94"/>
    <w:rsid w:val="00750B67"/>
    <w:rPr>
      <w:rFonts w:ascii="Segoe UI Light" w:eastAsiaTheme="majorEastAsia" w:hAnsi="Segoe UI Light" w:cstheme="majorBidi"/>
      <w:color w:val="393939" w:themeColor="background1" w:themeShade="40"/>
      <w:spacing w:val="-10"/>
      <w:kern w:val="28"/>
      <w:sz w:val="68"/>
      <w:szCs w:val="56"/>
    </w:rPr>
  </w:style>
  <w:style w:type="paragraph" w:styleId="Untertitel">
    <w:name w:val="Subtitle"/>
    <w:basedOn w:val="Standard"/>
    <w:next w:val="Standard"/>
    <w:link w:val="UntertitelZchn"/>
    <w:uiPriority w:val="94"/>
    <w:qFormat/>
    <w:rsid w:val="00750B67"/>
    <w:pPr>
      <w:numPr>
        <w:ilvl w:val="1"/>
      </w:numPr>
      <w:spacing w:before="840"/>
      <w:jc w:val="right"/>
    </w:pPr>
    <w:rPr>
      <w:rFonts w:ascii="Segoe UI Semibold" w:eastAsiaTheme="minorEastAsia" w:hAnsi="Segoe UI Semibold"/>
      <w:color w:val="393939" w:themeColor="background1" w:themeShade="40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94"/>
    <w:rsid w:val="00750B67"/>
    <w:rPr>
      <w:rFonts w:ascii="Segoe UI Semibold" w:eastAsiaTheme="minorEastAsia" w:hAnsi="Segoe UI Semibold"/>
      <w:color w:val="393939" w:themeColor="background1" w:themeShade="40"/>
      <w:spacing w:val="15"/>
      <w:sz w:val="44"/>
    </w:rPr>
  </w:style>
  <w:style w:type="character" w:customStyle="1" w:styleId="berschrift1Zchn">
    <w:name w:val="Überschrift 1 Zchn"/>
    <w:basedOn w:val="Absatz-Standardschriftart"/>
    <w:link w:val="berschrift1"/>
    <w:uiPriority w:val="19"/>
    <w:rsid w:val="005E6146"/>
    <w:rPr>
      <w:rFonts w:ascii="Segoe UI Semibold" w:eastAsiaTheme="majorEastAsia" w:hAnsi="Segoe UI Semibold" w:cstheme="majorBidi"/>
      <w:color w:val="171717" w:themeColor="background1" w:themeShade="1A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9"/>
    <w:rsid w:val="00BD1F0F"/>
    <w:rPr>
      <w:rFonts w:ascii="Segoe UI Semibold" w:hAnsi="Segoe UI Semibold"/>
      <w:color w:val="14171B" w:themeColor="background2" w:themeShade="1A"/>
      <w:sz w:val="32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40"/>
    <w:rsid w:val="00285345"/>
    <w:pPr>
      <w:pBdr>
        <w:top w:val="single" w:sz="4" w:space="10" w:color="78B018" w:themeColor="accent1"/>
        <w:bottom w:val="single" w:sz="4" w:space="10" w:color="78B018" w:themeColor="accent1"/>
      </w:pBdr>
      <w:spacing w:before="360"/>
      <w:ind w:left="864" w:right="864"/>
      <w:jc w:val="center"/>
    </w:pPr>
    <w:rPr>
      <w:i/>
      <w:iCs/>
      <w:color w:val="3C580C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rsid w:val="00285345"/>
    <w:rPr>
      <w:i/>
      <w:iCs/>
      <w:color w:val="3C580C" w:themeColor="accent1" w:themeShade="80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19"/>
    <w:rsid w:val="00BD1F0F"/>
    <w:rPr>
      <w:rFonts w:ascii="Segoe UI Semibold" w:hAnsi="Segoe UI Semibold"/>
      <w:color w:val="14171B" w:themeColor="background2" w:themeShade="1A"/>
      <w:sz w:val="28"/>
      <w:szCs w:val="24"/>
    </w:rPr>
  </w:style>
  <w:style w:type="paragraph" w:styleId="Kopfzeile">
    <w:name w:val="header"/>
    <w:basedOn w:val="Standard"/>
    <w:link w:val="KopfzeileZchn"/>
    <w:uiPriority w:val="97"/>
    <w:unhideWhenUsed/>
    <w:rsid w:val="00007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7"/>
    <w:rsid w:val="001E121D"/>
  </w:style>
  <w:style w:type="paragraph" w:styleId="Fuzeile">
    <w:name w:val="footer"/>
    <w:basedOn w:val="Standard"/>
    <w:link w:val="FuzeileZchn"/>
    <w:uiPriority w:val="99"/>
    <w:unhideWhenUsed/>
    <w:rsid w:val="005E6146"/>
    <w:pPr>
      <w:tabs>
        <w:tab w:val="center" w:pos="4536"/>
        <w:tab w:val="right" w:pos="9072"/>
      </w:tabs>
      <w:spacing w:after="0" w:line="240" w:lineRule="auto"/>
      <w:jc w:val="center"/>
    </w:pPr>
    <w:rPr>
      <w:color w:val="3C580C" w:themeColor="accent1" w:themeShade="80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E6146"/>
    <w:rPr>
      <w:color w:val="3C580C" w:themeColor="accent1" w:themeShade="80"/>
      <w:sz w:val="20"/>
    </w:rPr>
  </w:style>
  <w:style w:type="paragraph" w:customStyle="1" w:styleId="HeaderKopfzeile">
    <w:name w:val="Header ↓ Kopfzeile"/>
    <w:basedOn w:val="Standard"/>
    <w:uiPriority w:val="49"/>
    <w:qFormat/>
    <w:rsid w:val="005C69FA"/>
    <w:pPr>
      <w:spacing w:before="60" w:after="60" w:line="240" w:lineRule="auto"/>
    </w:pPr>
    <w:rPr>
      <w:bCs/>
      <w:color w:val="000000" w:themeColor="text1"/>
    </w:rPr>
  </w:style>
  <w:style w:type="paragraph" w:customStyle="1" w:styleId="HeaderSpalte1">
    <w:name w:val="Header → Spalte1"/>
    <w:basedOn w:val="Standard"/>
    <w:uiPriority w:val="49"/>
    <w:qFormat/>
    <w:rsid w:val="00360E11"/>
    <w:pPr>
      <w:spacing w:before="60" w:after="60" w:line="240" w:lineRule="auto"/>
    </w:pPr>
  </w:style>
  <w:style w:type="paragraph" w:customStyle="1" w:styleId="HeaderEbene3">
    <w:name w:val="Header → Ebene 3"/>
    <w:basedOn w:val="Standard"/>
    <w:uiPriority w:val="49"/>
    <w:semiHidden/>
    <w:qFormat/>
    <w:rsid w:val="00CA10CE"/>
    <w:pPr>
      <w:spacing w:before="0" w:after="0" w:line="240" w:lineRule="auto"/>
    </w:pPr>
    <w:rPr>
      <w:b/>
    </w:rPr>
  </w:style>
  <w:style w:type="paragraph" w:customStyle="1" w:styleId="HeaderEbene4">
    <w:name w:val="Header → Ebene 4"/>
    <w:basedOn w:val="Standard"/>
    <w:uiPriority w:val="49"/>
    <w:semiHidden/>
    <w:qFormat/>
    <w:rsid w:val="00CA10CE"/>
    <w:pPr>
      <w:spacing w:before="0" w:after="0" w:line="240" w:lineRule="auto"/>
    </w:pPr>
    <w:rPr>
      <w:b/>
    </w:rPr>
  </w:style>
  <w:style w:type="paragraph" w:customStyle="1" w:styleId="HeaderEbene5">
    <w:name w:val="Header → Ebene 5"/>
    <w:basedOn w:val="Standard"/>
    <w:uiPriority w:val="49"/>
    <w:semiHidden/>
    <w:qFormat/>
    <w:rsid w:val="00CA10CE"/>
    <w:pPr>
      <w:spacing w:before="0" w:after="0" w:line="240" w:lineRule="auto"/>
    </w:pPr>
    <w:rPr>
      <w:b/>
    </w:rPr>
  </w:style>
  <w:style w:type="paragraph" w:customStyle="1" w:styleId="HeaderEbene20">
    <w:name w:val="Header ↓ Ebene 2"/>
    <w:basedOn w:val="Standard"/>
    <w:uiPriority w:val="49"/>
    <w:rsid w:val="00172848"/>
    <w:pPr>
      <w:spacing w:before="0" w:after="0" w:line="240" w:lineRule="auto"/>
    </w:pPr>
  </w:style>
  <w:style w:type="paragraph" w:customStyle="1" w:styleId="HeaderEbene30">
    <w:name w:val="Header ↓ Ebene 3"/>
    <w:basedOn w:val="Standard"/>
    <w:uiPriority w:val="49"/>
    <w:semiHidden/>
    <w:qFormat/>
    <w:rsid w:val="00CA10CE"/>
    <w:pPr>
      <w:spacing w:before="0" w:after="0" w:line="240" w:lineRule="auto"/>
    </w:pPr>
    <w:rPr>
      <w:b/>
    </w:rPr>
  </w:style>
  <w:style w:type="paragraph" w:customStyle="1" w:styleId="HeaderEbene40">
    <w:name w:val="Header ↓ Ebene 4"/>
    <w:basedOn w:val="Standard"/>
    <w:uiPriority w:val="49"/>
    <w:semiHidden/>
    <w:qFormat/>
    <w:rsid w:val="00CA10CE"/>
    <w:pPr>
      <w:spacing w:before="0" w:after="0" w:line="240" w:lineRule="auto"/>
    </w:pPr>
    <w:rPr>
      <w:b/>
    </w:rPr>
  </w:style>
  <w:style w:type="paragraph" w:customStyle="1" w:styleId="HeaderEbene50">
    <w:name w:val="Header ↓ Ebene 5"/>
    <w:basedOn w:val="Standard"/>
    <w:uiPriority w:val="49"/>
    <w:semiHidden/>
    <w:qFormat/>
    <w:rsid w:val="00CA10CE"/>
    <w:pPr>
      <w:spacing w:before="0" w:after="0" w:line="240" w:lineRule="auto"/>
    </w:pPr>
    <w:rPr>
      <w:b/>
    </w:rPr>
  </w:style>
  <w:style w:type="paragraph" w:customStyle="1" w:styleId="HeaderEbene2nur1Spalte">
    <w:name w:val="Header ↓ Ebene 2 nur 1. Spalte"/>
    <w:basedOn w:val="Standard"/>
    <w:uiPriority w:val="49"/>
    <w:rsid w:val="00172848"/>
    <w:pPr>
      <w:spacing w:before="0" w:after="0" w:line="240" w:lineRule="auto"/>
    </w:pPr>
  </w:style>
  <w:style w:type="paragraph" w:customStyle="1" w:styleId="HeaderEbene3nur1Spalte">
    <w:name w:val="Header ↓ Ebene 3 nur 1. Spalte"/>
    <w:basedOn w:val="Standard"/>
    <w:uiPriority w:val="49"/>
    <w:semiHidden/>
    <w:qFormat/>
    <w:rsid w:val="00CA10CE"/>
    <w:pPr>
      <w:spacing w:before="0" w:after="0" w:line="240" w:lineRule="auto"/>
    </w:pPr>
    <w:rPr>
      <w:b/>
    </w:rPr>
  </w:style>
  <w:style w:type="paragraph" w:customStyle="1" w:styleId="Datenzelle">
    <w:name w:val="Datenzelle"/>
    <w:basedOn w:val="Standard"/>
    <w:uiPriority w:val="50"/>
    <w:qFormat/>
    <w:rsid w:val="00BF67DF"/>
    <w:pPr>
      <w:spacing w:before="60" w:after="60" w:line="240" w:lineRule="auto"/>
    </w:pPr>
  </w:style>
  <w:style w:type="paragraph" w:styleId="Liste">
    <w:name w:val="List"/>
    <w:basedOn w:val="Listenstandard"/>
    <w:uiPriority w:val="29"/>
    <w:rsid w:val="008E0FCA"/>
    <w:pPr>
      <w:keepNext/>
      <w:keepLines/>
      <w:numPr>
        <w:numId w:val="14"/>
      </w:numPr>
    </w:pPr>
  </w:style>
  <w:style w:type="paragraph" w:styleId="Liste2">
    <w:name w:val="List 2"/>
    <w:basedOn w:val="Listenstandard"/>
    <w:uiPriority w:val="29"/>
    <w:semiHidden/>
    <w:rsid w:val="008E0FCA"/>
    <w:pPr>
      <w:keepNext/>
      <w:keepLines/>
      <w:numPr>
        <w:ilvl w:val="1"/>
        <w:numId w:val="14"/>
      </w:numPr>
    </w:pPr>
  </w:style>
  <w:style w:type="paragraph" w:styleId="Liste3">
    <w:name w:val="List 3"/>
    <w:basedOn w:val="Listenstandard"/>
    <w:uiPriority w:val="29"/>
    <w:semiHidden/>
    <w:rsid w:val="008E0FCA"/>
    <w:pPr>
      <w:keepNext/>
      <w:keepLines/>
      <w:numPr>
        <w:ilvl w:val="2"/>
        <w:numId w:val="14"/>
      </w:numPr>
    </w:pPr>
  </w:style>
  <w:style w:type="paragraph" w:styleId="Liste4">
    <w:name w:val="List 4"/>
    <w:basedOn w:val="Listenstandard"/>
    <w:uiPriority w:val="29"/>
    <w:semiHidden/>
    <w:rsid w:val="008E0FCA"/>
    <w:pPr>
      <w:keepNext/>
      <w:keepLines/>
      <w:numPr>
        <w:ilvl w:val="3"/>
        <w:numId w:val="14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6146"/>
    <w:pPr>
      <w:tabs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76CA1"/>
    <w:pPr>
      <w:tabs>
        <w:tab w:val="left" w:pos="880"/>
        <w:tab w:val="right" w:leader="dot" w:pos="9062"/>
      </w:tabs>
      <w:spacing w:before="120" w:after="0"/>
      <w:ind w:left="221"/>
    </w:pPr>
  </w:style>
  <w:style w:type="paragraph" w:styleId="Verzeichnis3">
    <w:name w:val="toc 3"/>
    <w:basedOn w:val="Standard"/>
    <w:next w:val="Standard"/>
    <w:autoRedefine/>
    <w:uiPriority w:val="39"/>
    <w:unhideWhenUsed/>
    <w:rsid w:val="002806AC"/>
    <w:pPr>
      <w:spacing w:before="120" w:after="0"/>
      <w:ind w:left="442"/>
    </w:pPr>
  </w:style>
  <w:style w:type="character" w:styleId="Hyperlink">
    <w:name w:val="Hyperlink"/>
    <w:basedOn w:val="Absatz-Standardschriftart"/>
    <w:uiPriority w:val="99"/>
    <w:unhideWhenUsed/>
    <w:rsid w:val="00645E7E"/>
    <w:rPr>
      <w:color w:val="000000" w:themeColor="text1"/>
      <w:u w:val="single" w:color="3C580C" w:themeColor="accent1" w:themeShade="80"/>
    </w:rPr>
  </w:style>
  <w:style w:type="character" w:styleId="IntensiverVerweis">
    <w:name w:val="Intense Reference"/>
    <w:basedOn w:val="Absatz-Standardschriftart"/>
    <w:uiPriority w:val="40"/>
    <w:rsid w:val="00285345"/>
    <w:rPr>
      <w:b/>
      <w:bCs/>
      <w:smallCaps/>
      <w:color w:val="3C580C" w:themeColor="accent1" w:themeShade="80"/>
      <w:spacing w:val="5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83FC6"/>
    <w:rPr>
      <w:color w:val="605E5C"/>
      <w:shd w:val="clear" w:color="auto" w:fill="E1DFDD"/>
    </w:rPr>
  </w:style>
  <w:style w:type="paragraph" w:styleId="Listennummer">
    <w:name w:val="List Number"/>
    <w:basedOn w:val="Listenstandard"/>
    <w:uiPriority w:val="29"/>
    <w:rsid w:val="008E0FCA"/>
    <w:pPr>
      <w:keepNext/>
      <w:keepLines/>
      <w:numPr>
        <w:numId w:val="15"/>
      </w:numPr>
    </w:pPr>
  </w:style>
  <w:style w:type="paragraph" w:styleId="Listennummer2">
    <w:name w:val="List Number 2"/>
    <w:basedOn w:val="Listenstandard"/>
    <w:uiPriority w:val="29"/>
    <w:semiHidden/>
    <w:rsid w:val="008E0FCA"/>
    <w:pPr>
      <w:keepNext/>
      <w:keepLines/>
      <w:numPr>
        <w:ilvl w:val="1"/>
        <w:numId w:val="15"/>
      </w:numPr>
    </w:pPr>
  </w:style>
  <w:style w:type="paragraph" w:styleId="Listenfortsetzung3">
    <w:name w:val="List Continue 3"/>
    <w:basedOn w:val="Listenfortsetzung-Standard"/>
    <w:uiPriority w:val="29"/>
    <w:semiHidden/>
    <w:rsid w:val="00B00985"/>
    <w:pPr>
      <w:ind w:left="851"/>
      <w:contextualSpacing/>
    </w:pPr>
  </w:style>
  <w:style w:type="paragraph" w:styleId="Listenfortsetzung4">
    <w:name w:val="List Continue 4"/>
    <w:basedOn w:val="Listenfortsetzung-Standard"/>
    <w:uiPriority w:val="29"/>
    <w:semiHidden/>
    <w:rsid w:val="00B00985"/>
    <w:pPr>
      <w:ind w:left="1134"/>
      <w:contextualSpacing/>
    </w:pPr>
  </w:style>
  <w:style w:type="paragraph" w:styleId="Listenfortsetzung5">
    <w:name w:val="List Continue 5"/>
    <w:basedOn w:val="Listenfortsetzung-Standard"/>
    <w:uiPriority w:val="29"/>
    <w:semiHidden/>
    <w:rsid w:val="00B00985"/>
    <w:pPr>
      <w:ind w:left="1418"/>
      <w:contextualSpacing/>
    </w:pPr>
  </w:style>
  <w:style w:type="paragraph" w:styleId="Listennummer3">
    <w:name w:val="List Number 3"/>
    <w:basedOn w:val="Listenstandard"/>
    <w:uiPriority w:val="29"/>
    <w:semiHidden/>
    <w:rsid w:val="008E0FCA"/>
    <w:pPr>
      <w:keepNext/>
      <w:keepLines/>
      <w:numPr>
        <w:ilvl w:val="2"/>
        <w:numId w:val="15"/>
      </w:numPr>
    </w:pPr>
  </w:style>
  <w:style w:type="paragraph" w:styleId="Listennummer4">
    <w:name w:val="List Number 4"/>
    <w:basedOn w:val="Listenstandard"/>
    <w:uiPriority w:val="29"/>
    <w:semiHidden/>
    <w:rsid w:val="008E0FCA"/>
    <w:pPr>
      <w:keepNext/>
      <w:keepLines/>
      <w:numPr>
        <w:ilvl w:val="3"/>
        <w:numId w:val="15"/>
      </w:numPr>
    </w:pPr>
  </w:style>
  <w:style w:type="paragraph" w:styleId="Listennummer5">
    <w:name w:val="List Number 5"/>
    <w:basedOn w:val="Listenstandard"/>
    <w:uiPriority w:val="29"/>
    <w:semiHidden/>
    <w:rsid w:val="008E0FCA"/>
    <w:pPr>
      <w:keepNext/>
      <w:keepLines/>
      <w:numPr>
        <w:ilvl w:val="4"/>
        <w:numId w:val="15"/>
      </w:numPr>
    </w:pPr>
  </w:style>
  <w:style w:type="paragraph" w:styleId="Listenfortsetzung">
    <w:name w:val="List Continue"/>
    <w:basedOn w:val="Listenfortsetzung-Standard"/>
    <w:uiPriority w:val="29"/>
    <w:rsid w:val="00B00985"/>
    <w:pPr>
      <w:ind w:left="284"/>
      <w:contextualSpacing/>
    </w:pPr>
  </w:style>
  <w:style w:type="paragraph" w:styleId="Listenfortsetzung2">
    <w:name w:val="List Continue 2"/>
    <w:basedOn w:val="Listenfortsetzung-Standard"/>
    <w:uiPriority w:val="29"/>
    <w:semiHidden/>
    <w:rsid w:val="00B00985"/>
    <w:pPr>
      <w:ind w:left="567"/>
      <w:contextualSpacing/>
    </w:pPr>
  </w:style>
  <w:style w:type="paragraph" w:styleId="Liste5">
    <w:name w:val="List 5"/>
    <w:basedOn w:val="Listenstandard"/>
    <w:uiPriority w:val="29"/>
    <w:semiHidden/>
    <w:rsid w:val="008E0FCA"/>
    <w:pPr>
      <w:keepNext/>
      <w:keepLines/>
      <w:numPr>
        <w:ilvl w:val="4"/>
        <w:numId w:val="14"/>
      </w:numPr>
    </w:pPr>
  </w:style>
  <w:style w:type="character" w:customStyle="1" w:styleId="berschrift4Zchn">
    <w:name w:val="Überschrift 4 Zchn"/>
    <w:basedOn w:val="Absatz-Standardschriftart"/>
    <w:link w:val="berschrift4"/>
    <w:uiPriority w:val="19"/>
    <w:rsid w:val="00C963C5"/>
    <w:rPr>
      <w:rFonts w:ascii="Segoe UI Semibold" w:eastAsiaTheme="majorEastAsia" w:hAnsi="Segoe UI Semibold" w:cstheme="majorBidi"/>
      <w:iCs/>
      <w:color w:val="14171B" w:themeColor="background2" w:themeShade="1A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9"/>
    <w:rsid w:val="00C963C5"/>
    <w:rPr>
      <w:rFonts w:ascii="Segoe UI Semibold" w:eastAsiaTheme="majorEastAsia" w:hAnsi="Segoe UI Semibold" w:cstheme="majorBidi"/>
      <w:color w:val="14171B" w:themeColor="background2" w:themeShade="1A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5035EF"/>
    <w:rPr>
      <w:rFonts w:asciiTheme="majorHAnsi" w:eastAsiaTheme="majorEastAsia" w:hAnsiTheme="majorHAnsi" w:cstheme="majorBidi"/>
      <w:color w:val="3B570C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5035EF"/>
    <w:rPr>
      <w:rFonts w:asciiTheme="majorHAnsi" w:eastAsiaTheme="majorEastAsia" w:hAnsiTheme="majorHAnsi" w:cstheme="majorBidi"/>
      <w:iCs/>
      <w:color w:val="3B570C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5035EF"/>
    <w:rPr>
      <w:rFonts w:asciiTheme="majorHAnsi" w:eastAsiaTheme="majorEastAsia" w:hAnsiTheme="majorHAnsi" w:cstheme="majorBidi"/>
      <w:color w:val="598312" w:themeColor="accent1" w:themeShade="BF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5035EF"/>
    <w:rPr>
      <w:rFonts w:asciiTheme="majorHAnsi" w:eastAsiaTheme="majorEastAsia" w:hAnsiTheme="majorHAnsi" w:cstheme="majorBidi"/>
      <w:iCs/>
      <w:color w:val="598312" w:themeColor="accent1" w:themeShade="BF"/>
      <w:sz w:val="24"/>
      <w:szCs w:val="21"/>
    </w:rPr>
  </w:style>
  <w:style w:type="paragraph" w:customStyle="1" w:styleId="Listenfortsetzung6">
    <w:name w:val="Listenfortsetzung 6"/>
    <w:basedOn w:val="Standard"/>
    <w:uiPriority w:val="29"/>
    <w:semiHidden/>
    <w:qFormat/>
    <w:rsid w:val="003E4153"/>
    <w:pPr>
      <w:ind w:left="1701"/>
    </w:pPr>
  </w:style>
  <w:style w:type="paragraph" w:customStyle="1" w:styleId="Listenfortsetzung7">
    <w:name w:val="Listenfortsetzung 7"/>
    <w:basedOn w:val="Standard"/>
    <w:uiPriority w:val="29"/>
    <w:semiHidden/>
    <w:qFormat/>
    <w:rsid w:val="003E4153"/>
    <w:pPr>
      <w:ind w:left="1985"/>
    </w:pPr>
  </w:style>
  <w:style w:type="paragraph" w:customStyle="1" w:styleId="Listenfortsetzung8">
    <w:name w:val="Listenfortsetzung 8"/>
    <w:basedOn w:val="Standard"/>
    <w:uiPriority w:val="29"/>
    <w:semiHidden/>
    <w:qFormat/>
    <w:rsid w:val="003E4153"/>
    <w:pPr>
      <w:ind w:left="2268"/>
    </w:pPr>
  </w:style>
  <w:style w:type="paragraph" w:customStyle="1" w:styleId="Listennummer6">
    <w:name w:val="Listennummer 6"/>
    <w:basedOn w:val="Standard"/>
    <w:uiPriority w:val="29"/>
    <w:semiHidden/>
    <w:qFormat/>
    <w:rsid w:val="00AF6183"/>
    <w:pPr>
      <w:numPr>
        <w:ilvl w:val="5"/>
        <w:numId w:val="15"/>
      </w:numPr>
    </w:pPr>
  </w:style>
  <w:style w:type="paragraph" w:customStyle="1" w:styleId="Listennummer7">
    <w:name w:val="Listennummer 7"/>
    <w:basedOn w:val="Standard"/>
    <w:uiPriority w:val="29"/>
    <w:semiHidden/>
    <w:qFormat/>
    <w:rsid w:val="00AF6183"/>
    <w:pPr>
      <w:numPr>
        <w:ilvl w:val="6"/>
        <w:numId w:val="15"/>
      </w:numPr>
    </w:pPr>
  </w:style>
  <w:style w:type="paragraph" w:customStyle="1" w:styleId="Listennummer8">
    <w:name w:val="Listennummer 8"/>
    <w:basedOn w:val="Standard"/>
    <w:uiPriority w:val="29"/>
    <w:semiHidden/>
    <w:qFormat/>
    <w:rsid w:val="00AF6183"/>
    <w:pPr>
      <w:numPr>
        <w:ilvl w:val="7"/>
        <w:numId w:val="15"/>
      </w:numPr>
    </w:pPr>
  </w:style>
  <w:style w:type="paragraph" w:customStyle="1" w:styleId="Liste6">
    <w:name w:val="Liste 6"/>
    <w:basedOn w:val="Standard"/>
    <w:uiPriority w:val="29"/>
    <w:semiHidden/>
    <w:qFormat/>
    <w:rsid w:val="00AF6183"/>
    <w:pPr>
      <w:numPr>
        <w:ilvl w:val="5"/>
        <w:numId w:val="14"/>
      </w:numPr>
    </w:pPr>
  </w:style>
  <w:style w:type="paragraph" w:customStyle="1" w:styleId="Liste7">
    <w:name w:val="Liste 7"/>
    <w:basedOn w:val="Standard"/>
    <w:uiPriority w:val="29"/>
    <w:semiHidden/>
    <w:qFormat/>
    <w:rsid w:val="00AF6183"/>
    <w:pPr>
      <w:numPr>
        <w:ilvl w:val="6"/>
        <w:numId w:val="14"/>
      </w:numPr>
    </w:pPr>
  </w:style>
  <w:style w:type="paragraph" w:customStyle="1" w:styleId="Liste8">
    <w:name w:val="Liste 8"/>
    <w:basedOn w:val="Standard"/>
    <w:uiPriority w:val="29"/>
    <w:semiHidden/>
    <w:qFormat/>
    <w:rsid w:val="00AF6183"/>
    <w:pPr>
      <w:numPr>
        <w:ilvl w:val="7"/>
        <w:numId w:val="14"/>
      </w:numPr>
    </w:pPr>
  </w:style>
  <w:style w:type="paragraph" w:customStyle="1" w:styleId="Liste9">
    <w:name w:val="Liste 9"/>
    <w:basedOn w:val="Standard"/>
    <w:uiPriority w:val="29"/>
    <w:semiHidden/>
    <w:qFormat/>
    <w:rsid w:val="00EE2DF3"/>
    <w:pPr>
      <w:numPr>
        <w:ilvl w:val="8"/>
        <w:numId w:val="14"/>
      </w:numPr>
    </w:pPr>
  </w:style>
  <w:style w:type="paragraph" w:customStyle="1" w:styleId="Listennummer9">
    <w:name w:val="Listennummer 9"/>
    <w:basedOn w:val="Standard"/>
    <w:uiPriority w:val="29"/>
    <w:semiHidden/>
    <w:qFormat/>
    <w:rsid w:val="00EE2DF3"/>
    <w:pPr>
      <w:numPr>
        <w:ilvl w:val="8"/>
        <w:numId w:val="15"/>
      </w:numPr>
    </w:pPr>
  </w:style>
  <w:style w:type="paragraph" w:customStyle="1" w:styleId="Listenfortsetzung9">
    <w:name w:val="Listenfortsetzung 9"/>
    <w:basedOn w:val="Standard"/>
    <w:uiPriority w:val="29"/>
    <w:semiHidden/>
    <w:qFormat/>
    <w:rsid w:val="003E4153"/>
    <w:pPr>
      <w:ind w:left="2552"/>
    </w:pPr>
  </w:style>
  <w:style w:type="paragraph" w:styleId="KeinLeerraum">
    <w:name w:val="No Spacing"/>
    <w:uiPriority w:val="4"/>
    <w:rsid w:val="00252889"/>
    <w:pPr>
      <w:spacing w:after="0" w:line="240" w:lineRule="auto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9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982"/>
    <w:rPr>
      <w:rFonts w:ascii="Segoe UI" w:hAnsi="Segoe UI" w:cs="Segoe UI"/>
      <w:sz w:val="18"/>
      <w:szCs w:val="18"/>
    </w:rPr>
  </w:style>
  <w:style w:type="table" w:styleId="Gitternetztabelle5dunkelAkzent4">
    <w:name w:val="Grid Table 5 Dark Accent 4"/>
    <w:basedOn w:val="NormaleTabelle"/>
    <w:uiPriority w:val="50"/>
    <w:rsid w:val="009428DE"/>
    <w:pPr>
      <w:spacing w:after="0" w:line="240" w:lineRule="auto"/>
    </w:pPr>
    <w:tblPr>
      <w:tblStyleRowBandSize w:val="1"/>
      <w:tblStyleColBandSize w:val="1"/>
      <w:tblBorders>
        <w:top w:val="single" w:sz="4" w:space="0" w:color="E4E4E4" w:themeColor="background1"/>
        <w:left w:val="single" w:sz="4" w:space="0" w:color="E4E4E4" w:themeColor="background1"/>
        <w:bottom w:val="single" w:sz="4" w:space="0" w:color="E4E4E4" w:themeColor="background1"/>
        <w:right w:val="single" w:sz="4" w:space="0" w:color="E4E4E4" w:themeColor="background1"/>
        <w:insideH w:val="single" w:sz="4" w:space="0" w:color="E4E4E4" w:themeColor="background1"/>
        <w:insideV w:val="single" w:sz="4" w:space="0" w:color="E4E4E4" w:themeColor="background1"/>
      </w:tblBorders>
    </w:tblPr>
    <w:tcPr>
      <w:shd w:val="clear" w:color="auto" w:fill="CDF5B8" w:themeFill="accent4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sz="4" w:space="0" w:color="E4E4E4" w:themeColor="background1"/>
          <w:left w:val="single" w:sz="4" w:space="0" w:color="E4E4E4" w:themeColor="background1"/>
          <w:right w:val="single" w:sz="4" w:space="0" w:color="E4E4E4" w:themeColor="background1"/>
          <w:insideH w:val="nil"/>
          <w:insideV w:val="nil"/>
        </w:tcBorders>
        <w:shd w:val="clear" w:color="auto" w:fill="295C0D" w:themeFill="accent4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sz="4" w:space="0" w:color="E4E4E4" w:themeColor="background1"/>
          <w:bottom w:val="single" w:sz="4" w:space="0" w:color="E4E4E4" w:themeColor="background1"/>
          <w:right w:val="single" w:sz="4" w:space="0" w:color="E4E4E4" w:themeColor="background1"/>
          <w:insideH w:val="nil"/>
          <w:insideV w:val="nil"/>
        </w:tcBorders>
        <w:shd w:val="clear" w:color="auto" w:fill="295C0D" w:themeFill="accent4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sz="4" w:space="0" w:color="E4E4E4" w:themeColor="background1"/>
          <w:left w:val="single" w:sz="4" w:space="0" w:color="E4E4E4" w:themeColor="background1"/>
          <w:bottom w:val="single" w:sz="4" w:space="0" w:color="E4E4E4" w:themeColor="background1"/>
          <w:insideV w:val="nil"/>
        </w:tcBorders>
        <w:shd w:val="clear" w:color="auto" w:fill="295C0D" w:themeFill="accent4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sz="4" w:space="0" w:color="E4E4E4" w:themeColor="background1"/>
          <w:bottom w:val="single" w:sz="4" w:space="0" w:color="E4E4E4" w:themeColor="background1"/>
          <w:right w:val="single" w:sz="4" w:space="0" w:color="E4E4E4" w:themeColor="background1"/>
          <w:insideV w:val="nil"/>
        </w:tcBorders>
        <w:shd w:val="clear" w:color="auto" w:fill="295C0D" w:themeFill="accent4"/>
      </w:tcPr>
    </w:tblStylePr>
    <w:tblStylePr w:type="band1Vert">
      <w:tblPr/>
      <w:tcPr>
        <w:shd w:val="clear" w:color="auto" w:fill="9CEB71" w:themeFill="accent4" w:themeFillTint="66"/>
      </w:tcPr>
    </w:tblStylePr>
    <w:tblStylePr w:type="band1Horz">
      <w:tblPr/>
      <w:tcPr>
        <w:shd w:val="clear" w:color="auto" w:fill="9CEB71" w:themeFill="accent4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7C2FFC"/>
    <w:rPr>
      <w:color w:val="808080"/>
    </w:rPr>
  </w:style>
  <w:style w:type="character" w:styleId="IntensiveHervorhebung">
    <w:name w:val="Intense Emphasis"/>
    <w:basedOn w:val="Absatz-Standardschriftart"/>
    <w:uiPriority w:val="40"/>
    <w:rsid w:val="00285345"/>
    <w:rPr>
      <w:i/>
      <w:iCs/>
      <w:color w:val="3C580C" w:themeColor="accent1" w:themeShade="80"/>
    </w:rPr>
  </w:style>
  <w:style w:type="paragraph" w:customStyle="1" w:styleId="1nummeriert">
    <w:name w:val="Ü1 nummeriert"/>
    <w:basedOn w:val="berschrift1"/>
    <w:next w:val="Standard"/>
    <w:uiPriority w:val="4"/>
    <w:qFormat/>
    <w:rsid w:val="00BD1F0F"/>
    <w:pPr>
      <w:numPr>
        <w:numId w:val="17"/>
      </w:numPr>
    </w:pPr>
    <w:rPr>
      <w:color w:val="14171B" w:themeColor="background2" w:themeShade="1A"/>
    </w:rPr>
  </w:style>
  <w:style w:type="paragraph" w:customStyle="1" w:styleId="2nummeriert">
    <w:name w:val="Ü2 nummeriert"/>
    <w:basedOn w:val="berschrift2"/>
    <w:next w:val="Standard"/>
    <w:uiPriority w:val="4"/>
    <w:qFormat/>
    <w:rsid w:val="00BD1F0F"/>
    <w:pPr>
      <w:numPr>
        <w:ilvl w:val="1"/>
        <w:numId w:val="17"/>
      </w:numPr>
    </w:pPr>
  </w:style>
  <w:style w:type="paragraph" w:customStyle="1" w:styleId="3nummeriert">
    <w:name w:val="Ü3 nummeriert"/>
    <w:basedOn w:val="berschrift3"/>
    <w:next w:val="Standard"/>
    <w:uiPriority w:val="4"/>
    <w:qFormat/>
    <w:rsid w:val="00BD1F0F"/>
    <w:pPr>
      <w:numPr>
        <w:ilvl w:val="2"/>
        <w:numId w:val="17"/>
      </w:numPr>
    </w:pPr>
  </w:style>
  <w:style w:type="paragraph" w:customStyle="1" w:styleId="4nummeriert">
    <w:name w:val="Ü4 nummeriert"/>
    <w:basedOn w:val="berschrift4"/>
    <w:next w:val="Standard"/>
    <w:uiPriority w:val="4"/>
    <w:qFormat/>
    <w:rsid w:val="00E30786"/>
    <w:pPr>
      <w:numPr>
        <w:ilvl w:val="3"/>
        <w:numId w:val="17"/>
      </w:numPr>
    </w:pPr>
  </w:style>
  <w:style w:type="paragraph" w:customStyle="1" w:styleId="5nummeriert">
    <w:name w:val="Ü5 nummeriert"/>
    <w:basedOn w:val="berschrift5"/>
    <w:next w:val="Standard"/>
    <w:uiPriority w:val="4"/>
    <w:qFormat/>
    <w:rsid w:val="00E30786"/>
    <w:pPr>
      <w:numPr>
        <w:ilvl w:val="4"/>
        <w:numId w:val="17"/>
      </w:numPr>
    </w:pPr>
  </w:style>
  <w:style w:type="paragraph" w:customStyle="1" w:styleId="berschriftVerzeichnis">
    <w:name w:val="Überschrift Verzeichnis"/>
    <w:basedOn w:val="berschrift1"/>
    <w:next w:val="Standard"/>
    <w:uiPriority w:val="24"/>
    <w:rsid w:val="005E6146"/>
    <w:pPr>
      <w:pageBreakBefore/>
    </w:pPr>
  </w:style>
  <w:style w:type="paragraph" w:customStyle="1" w:styleId="2Infobox">
    <w:name w:val="Ü2 Infobox"/>
    <w:basedOn w:val="berschrift2"/>
    <w:next w:val="InfoboxStandard"/>
    <w:uiPriority w:val="22"/>
    <w:rsid w:val="009A47FE"/>
    <w:pPr>
      <w:spacing w:before="240" w:after="240"/>
    </w:pPr>
    <w:rPr>
      <w:u w:color="295C0D" w:themeColor="accent4"/>
    </w:rPr>
  </w:style>
  <w:style w:type="paragraph" w:customStyle="1" w:styleId="3Infobox">
    <w:name w:val="Ü3 Infobox"/>
    <w:basedOn w:val="2Infobox"/>
    <w:next w:val="InfoboxStandard"/>
    <w:uiPriority w:val="22"/>
    <w:rsid w:val="003D772D"/>
    <w:pPr>
      <w:pBdr>
        <w:bottom w:val="single" w:sz="12" w:space="1" w:color="78B018" w:themeColor="accent1"/>
      </w:pBdr>
      <w:outlineLvl w:val="2"/>
    </w:pPr>
  </w:style>
  <w:style w:type="paragraph" w:customStyle="1" w:styleId="InfoboxStandard">
    <w:name w:val="Infobox Standard"/>
    <w:basedOn w:val="Standard"/>
    <w:uiPriority w:val="23"/>
    <w:rsid w:val="00E734E4"/>
    <w:pPr>
      <w:spacing w:before="100" w:beforeAutospacing="1" w:after="100" w:afterAutospacing="1"/>
    </w:pPr>
  </w:style>
  <w:style w:type="paragraph" w:customStyle="1" w:styleId="Aufzhlung">
    <w:name w:val="Aufzählung"/>
    <w:basedOn w:val="InfoboxStandard"/>
    <w:uiPriority w:val="23"/>
    <w:rsid w:val="00B94A0E"/>
    <w:pPr>
      <w:numPr>
        <w:numId w:val="19"/>
      </w:numPr>
      <w:ind w:left="828" w:hanging="431"/>
    </w:pPr>
  </w:style>
  <w:style w:type="paragraph" w:customStyle="1" w:styleId="Aufzhlungnummeriert">
    <w:name w:val="Aufzählung nummeriert"/>
    <w:basedOn w:val="InfoboxStandard"/>
    <w:uiPriority w:val="23"/>
    <w:rsid w:val="00B94A0E"/>
    <w:pPr>
      <w:numPr>
        <w:numId w:val="26"/>
      </w:numPr>
    </w:pPr>
  </w:style>
  <w:style w:type="paragraph" w:customStyle="1" w:styleId="berschrift">
    <w:name w:val="Überschrift"/>
    <w:basedOn w:val="Standard"/>
    <w:next w:val="Standard"/>
    <w:uiPriority w:val="4"/>
    <w:semiHidden/>
    <w:qFormat/>
    <w:rsid w:val="006841C4"/>
    <w:pPr>
      <w:keepNext/>
      <w:keepLines/>
      <w:spacing w:before="720" w:after="360"/>
    </w:pPr>
    <w:rPr>
      <w:rFonts w:ascii="Segoe UI Semibold" w:hAnsi="Segoe UI Semibold"/>
      <w:color w:val="14171B" w:themeColor="background2" w:themeShade="1A"/>
      <w:sz w:val="36"/>
    </w:rPr>
  </w:style>
  <w:style w:type="paragraph" w:customStyle="1" w:styleId="1ohneLinie">
    <w:name w:val="Ü1 ohne Linie"/>
    <w:basedOn w:val="berschrift1"/>
    <w:next w:val="Standard"/>
    <w:uiPriority w:val="25"/>
    <w:semiHidden/>
    <w:qFormat/>
    <w:rsid w:val="00CD2174"/>
    <w:pPr>
      <w:pBdr>
        <w:bottom w:val="none" w:sz="0" w:space="0" w:color="auto"/>
      </w:pBdr>
    </w:pPr>
    <w:rPr>
      <w:sz w:val="28"/>
    </w:rPr>
  </w:style>
  <w:style w:type="paragraph" w:customStyle="1" w:styleId="2ohneLinie">
    <w:name w:val="Ü2 ohne Linie"/>
    <w:basedOn w:val="1ohneLinie"/>
    <w:next w:val="Standard"/>
    <w:uiPriority w:val="25"/>
    <w:semiHidden/>
    <w:qFormat/>
    <w:rsid w:val="000D2E65"/>
    <w:pPr>
      <w:spacing w:before="240" w:after="120"/>
      <w:outlineLvl w:val="1"/>
    </w:pPr>
    <w:rPr>
      <w:sz w:val="20"/>
    </w:rPr>
  </w:style>
  <w:style w:type="paragraph" w:customStyle="1" w:styleId="ImpressumStandard">
    <w:name w:val="Impressum Standard"/>
    <w:basedOn w:val="Standard"/>
    <w:uiPriority w:val="36"/>
    <w:semiHidden/>
    <w:qFormat/>
    <w:rsid w:val="001A1DA3"/>
    <w:pPr>
      <w:spacing w:after="60"/>
    </w:pPr>
    <w:rPr>
      <w:sz w:val="20"/>
    </w:rPr>
  </w:style>
  <w:style w:type="paragraph" w:customStyle="1" w:styleId="1klein">
    <w:name w:val="Ü1 klein"/>
    <w:basedOn w:val="Standard"/>
    <w:next w:val="Standard"/>
    <w:uiPriority w:val="35"/>
    <w:semiHidden/>
    <w:qFormat/>
    <w:rsid w:val="006841C4"/>
    <w:pPr>
      <w:spacing w:before="0" w:after="0" w:line="240" w:lineRule="auto"/>
      <w:jc w:val="right"/>
      <w:outlineLvl w:val="0"/>
    </w:pPr>
    <w:rPr>
      <w:rFonts w:ascii="Segoe UI Semibold" w:hAnsi="Segoe UI Semibold"/>
      <w:caps/>
      <w:sz w:val="20"/>
    </w:rPr>
  </w:style>
  <w:style w:type="paragraph" w:customStyle="1" w:styleId="2klein">
    <w:name w:val="Ü2 klein"/>
    <w:basedOn w:val="1klein"/>
    <w:next w:val="Standard"/>
    <w:uiPriority w:val="35"/>
    <w:semiHidden/>
    <w:qFormat/>
    <w:rsid w:val="00DB5DAF"/>
    <w:pPr>
      <w:outlineLvl w:val="1"/>
    </w:pPr>
  </w:style>
  <w:style w:type="paragraph" w:customStyle="1" w:styleId="Standardkleinrechtsbndig">
    <w:name w:val="Standard klein rechtsbündig"/>
    <w:basedOn w:val="Standard"/>
    <w:uiPriority w:val="37"/>
    <w:semiHidden/>
    <w:qFormat/>
    <w:rsid w:val="00601819"/>
    <w:pPr>
      <w:spacing w:before="0" w:after="0" w:line="240" w:lineRule="auto"/>
      <w:jc w:val="right"/>
    </w:pPr>
    <w:rPr>
      <w:sz w:val="20"/>
    </w:rPr>
  </w:style>
  <w:style w:type="table" w:styleId="Gitternetztabelle1hellAkzent3">
    <w:name w:val="Grid Table 1 Light Accent 3"/>
    <w:aliases w:val="BAES Tabelle 2"/>
    <w:basedOn w:val="NormaleTabelle"/>
    <w:uiPriority w:val="46"/>
    <w:rsid w:val="00B03A61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598312" w:themeColor="accent1" w:themeShade="BF"/>
        <w:bottom w:val="single" w:sz="4" w:space="0" w:color="598312" w:themeColor="accent1" w:themeShade="BF"/>
        <w:insideH w:val="single" w:sz="4" w:space="0" w:color="598312" w:themeColor="accent1" w:themeShade="BF"/>
        <w:insideV w:val="single" w:sz="4" w:space="0" w:color="598312" w:themeColor="accent1" w:themeShade="BF"/>
      </w:tblBorders>
    </w:tblPr>
    <w:tcPr>
      <w:vAlign w:val="center"/>
    </w:tcPr>
    <w:tblStylePr w:type="firstRow">
      <w:pPr>
        <w:jc w:val="center"/>
      </w:pPr>
      <w:rPr>
        <w:b/>
        <w:bCs/>
      </w:rPr>
      <w:tblPr/>
      <w:tcPr>
        <w:shd w:val="clear" w:color="auto" w:fill="BBD78B" w:themeFill="accent3"/>
      </w:tcPr>
    </w:tblStylePr>
    <w:tblStylePr w:type="lastRow">
      <w:rPr>
        <w:b/>
        <w:bCs/>
      </w:rPr>
      <w:tblPr/>
      <w:tcPr>
        <w:tcBorders>
          <w:top w:val="double" w:sz="2" w:space="0" w:color="D6E7B9" w:themeColor="accent3" w:themeTint="99"/>
        </w:tcBorders>
      </w:tcPr>
    </w:tblStylePr>
    <w:tblStylePr w:type="firstCol">
      <w:rPr>
        <w:b/>
        <w:bCs/>
      </w:rPr>
      <w:tblPr/>
      <w:tcPr>
        <w:shd w:val="clear" w:color="auto" w:fill="BBD78B" w:themeFill="accent3"/>
      </w:tcPr>
    </w:tblStylePr>
    <w:tblStylePr w:type="lastCol">
      <w:rPr>
        <w:b/>
        <w:bCs/>
      </w:rPr>
    </w:tblStylePr>
  </w:style>
  <w:style w:type="paragraph" w:customStyle="1" w:styleId="Listenstandard">
    <w:name w:val="Listenstandard"/>
    <w:uiPriority w:val="4"/>
    <w:semiHidden/>
    <w:qFormat/>
    <w:rsid w:val="00B00985"/>
    <w:pPr>
      <w:spacing w:before="120" w:after="0" w:line="300" w:lineRule="auto"/>
      <w:ind w:left="284" w:hanging="284"/>
    </w:pPr>
    <w:rPr>
      <w:sz w:val="24"/>
    </w:rPr>
  </w:style>
  <w:style w:type="paragraph" w:customStyle="1" w:styleId="Einleitungstext">
    <w:name w:val="Einleitungstext"/>
    <w:basedOn w:val="Standard"/>
    <w:uiPriority w:val="4"/>
    <w:qFormat/>
    <w:rsid w:val="00546505"/>
    <w:rPr>
      <w:rFonts w:ascii="Segoe UI Semibold" w:hAnsi="Segoe UI Semibold"/>
      <w:sz w:val="28"/>
    </w:rPr>
  </w:style>
  <w:style w:type="paragraph" w:customStyle="1" w:styleId="Listenfortsetzung-Standard">
    <w:name w:val="Listenfortsetzung-Standard"/>
    <w:uiPriority w:val="3"/>
    <w:semiHidden/>
    <w:qFormat/>
    <w:rsid w:val="00B00985"/>
    <w:pPr>
      <w:spacing w:after="0" w:line="300" w:lineRule="auto"/>
    </w:pPr>
    <w:rPr>
      <w:sz w:val="24"/>
    </w:rPr>
  </w:style>
  <w:style w:type="paragraph" w:customStyle="1" w:styleId="ImpressumkeinLeerraum">
    <w:name w:val="Impressum kein Leerraum"/>
    <w:basedOn w:val="ImpressumStandard"/>
    <w:uiPriority w:val="36"/>
    <w:semiHidden/>
    <w:qFormat/>
    <w:rsid w:val="00DB5DAF"/>
    <w:pPr>
      <w:spacing w:before="0" w:after="0"/>
    </w:pPr>
  </w:style>
  <w:style w:type="character" w:styleId="BesuchterLink">
    <w:name w:val="FollowedHyperlink"/>
    <w:basedOn w:val="Absatz-Standardschriftart"/>
    <w:uiPriority w:val="99"/>
    <w:semiHidden/>
    <w:unhideWhenUsed/>
    <w:rsid w:val="001743EA"/>
    <w:rPr>
      <w:color w:val="106CAB" w:themeColor="followedHyperlink"/>
      <w:u w:val="single"/>
    </w:rPr>
  </w:style>
  <w:style w:type="character" w:styleId="SchwacherVerweis">
    <w:name w:val="Subtle Reference"/>
    <w:basedOn w:val="Absatz-Standardschriftart"/>
    <w:uiPriority w:val="40"/>
    <w:rsid w:val="00B70050"/>
    <w:rPr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39"/>
    <w:rsid w:val="00B70050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40"/>
    <w:rsid w:val="00B70050"/>
    <w:rPr>
      <w:i/>
      <w:iCs/>
    </w:rPr>
  </w:style>
  <w:style w:type="paragraph" w:styleId="Zitat">
    <w:name w:val="Quote"/>
    <w:basedOn w:val="Standard"/>
    <w:next w:val="Standard"/>
    <w:link w:val="ZitatZchn"/>
    <w:uiPriority w:val="40"/>
    <w:rsid w:val="00B700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40"/>
    <w:rsid w:val="00B70050"/>
    <w:rPr>
      <w:i/>
      <w:iCs/>
      <w:color w:val="404040" w:themeColor="text1" w:themeTint="BF"/>
      <w:sz w:val="24"/>
    </w:rPr>
  </w:style>
  <w:style w:type="paragraph" w:customStyle="1" w:styleId="AutorinnenundAutoren">
    <w:name w:val="Autorinnen und Autoren"/>
    <w:basedOn w:val="Standard"/>
    <w:link w:val="AutorinnenundAutorenZchn"/>
    <w:uiPriority w:val="3"/>
    <w:qFormat/>
    <w:rsid w:val="005958A0"/>
    <w:rPr>
      <w:caps/>
    </w:rPr>
  </w:style>
  <w:style w:type="paragraph" w:styleId="Inhaltsverzeichnisberschrift">
    <w:name w:val="TOC Heading"/>
    <w:basedOn w:val="berschriftVerzeichnis"/>
    <w:next w:val="Standard"/>
    <w:uiPriority w:val="39"/>
    <w:unhideWhenUsed/>
    <w:rsid w:val="005958A0"/>
  </w:style>
  <w:style w:type="character" w:customStyle="1" w:styleId="AutorinnenundAutorenZchn">
    <w:name w:val="Autorinnen und Autoren Zchn"/>
    <w:basedOn w:val="Absatz-Standardschriftart"/>
    <w:link w:val="AutorinnenundAutoren"/>
    <w:uiPriority w:val="3"/>
    <w:rsid w:val="005958A0"/>
    <w:rPr>
      <w:caps/>
      <w:sz w:val="24"/>
    </w:rPr>
  </w:style>
  <w:style w:type="table" w:styleId="Gitternetztabelle1hell">
    <w:name w:val="Grid Table 1 Light"/>
    <w:aliases w:val="BAES Tabelle"/>
    <w:basedOn w:val="NormaleTabelle"/>
    <w:uiPriority w:val="46"/>
    <w:rsid w:val="00B03A61"/>
    <w:pPr>
      <w:spacing w:after="0" w:line="240" w:lineRule="auto"/>
      <w:jc w:val="center"/>
    </w:pPr>
    <w:rPr>
      <w:sz w:val="24"/>
    </w:rPr>
    <w:tblPr>
      <w:tblStyleRowBandSize w:val="1"/>
      <w:tblStyleColBandSize w:val="1"/>
      <w:tblBorders>
        <w:top w:val="single" w:sz="4" w:space="0" w:color="598312" w:themeColor="accent1" w:themeShade="BF"/>
        <w:bottom w:val="single" w:sz="4" w:space="0" w:color="598312" w:themeColor="accent1" w:themeShade="BF"/>
        <w:insideH w:val="single" w:sz="4" w:space="0" w:color="598312" w:themeColor="accent1" w:themeShade="BF"/>
        <w:insideV w:val="single" w:sz="4" w:space="0" w:color="598312" w:themeColor="accent1" w:themeShade="BF"/>
      </w:tblBorders>
    </w:tblPr>
    <w:tcPr>
      <w:vAlign w:val="center"/>
    </w:tcPr>
    <w:tblStylePr w:type="firstRow">
      <w:pPr>
        <w:jc w:val="center"/>
      </w:pPr>
      <w:rPr>
        <w:b/>
        <w:bCs/>
      </w:rPr>
      <w:tblPr/>
      <w:tcPr>
        <w:shd w:val="clear" w:color="auto" w:fill="BBD78B" w:themeFill="accent3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aliases w:val="BAES Tabellenraster gebändert"/>
    <w:basedOn w:val="NormaleTabelle"/>
    <w:uiPriority w:val="41"/>
    <w:rsid w:val="00B03A61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598312" w:themeColor="accent1" w:themeShade="BF"/>
        <w:bottom w:val="single" w:sz="4" w:space="0" w:color="598312" w:themeColor="accent1" w:themeShade="BF"/>
        <w:insideH w:val="single" w:sz="4" w:space="0" w:color="598312" w:themeColor="accent1" w:themeShade="BF"/>
        <w:insideV w:val="single" w:sz="4" w:space="0" w:color="598312" w:themeColor="accent1" w:themeShade="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AAAAA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3EFD0" w:themeFill="accent3" w:themeFillTint="66"/>
      </w:tcPr>
    </w:tblStylePr>
  </w:style>
  <w:style w:type="table" w:styleId="TabellemithellemGitternetz">
    <w:name w:val="Grid Table Light"/>
    <w:aliases w:val="BAES Tabellenraster 2"/>
    <w:basedOn w:val="NormaleTabelle"/>
    <w:uiPriority w:val="40"/>
    <w:rsid w:val="00053645"/>
    <w:pPr>
      <w:spacing w:after="0" w:line="240" w:lineRule="auto"/>
      <w:jc w:val="center"/>
    </w:pPr>
    <w:tblPr>
      <w:tblBorders>
        <w:top w:val="single" w:sz="4" w:space="0" w:color="598312" w:themeColor="accent1" w:themeShade="BF"/>
        <w:bottom w:val="single" w:sz="4" w:space="0" w:color="598312" w:themeColor="accent1" w:themeShade="BF"/>
        <w:insideH w:val="single" w:sz="4" w:space="0" w:color="598312" w:themeColor="accent1" w:themeShade="BF"/>
      </w:tblBorders>
    </w:tblPr>
    <w:tcPr>
      <w:shd w:val="clear" w:color="auto" w:fill="auto"/>
      <w:vAlign w:val="center"/>
    </w:tcPr>
    <w:tblStylePr w:type="firstRow">
      <w:rPr>
        <w:b/>
      </w:rPr>
    </w:tblStylePr>
  </w:style>
  <w:style w:type="table" w:styleId="EinfacheTabelle2">
    <w:name w:val="Plain Table 2"/>
    <w:basedOn w:val="NormaleTabelle"/>
    <w:uiPriority w:val="42"/>
    <w:rsid w:val="00360E11"/>
    <w:pPr>
      <w:spacing w:after="0" w:line="240" w:lineRule="auto"/>
    </w:pPr>
    <w:tblPr>
      <w:tblStyleRowBandSize w:val="1"/>
      <w:tblStyleColBandSize w:val="1"/>
      <w:tblBorders>
        <w:top w:val="single" w:sz="4" w:space="0" w:color="598312" w:themeColor="accent1" w:themeShade="BF"/>
        <w:bottom w:val="single" w:sz="4" w:space="0" w:color="598312" w:themeColor="accent1" w:themeShade="BF"/>
      </w:tblBorders>
    </w:tblPr>
    <w:tblStylePr w:type="firstRow">
      <w:rPr>
        <w:b/>
        <w:bCs/>
      </w:rPr>
      <w:tblPr/>
      <w:tcPr>
        <w:tcBorders>
          <w:bottom w:val="single" w:sz="4" w:space="0" w:color="598312" w:themeColor="accent1" w:themeShade="B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598312" w:themeColor="accent1" w:themeShade="BF"/>
          <w:bottom w:val="single" w:sz="4" w:space="0" w:color="598312" w:themeColor="accent1" w:themeShade="BF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E4F9A"/>
    <w:rPr>
      <w:sz w:val="16"/>
      <w:szCs w:val="16"/>
    </w:rPr>
  </w:style>
  <w:style w:type="table" w:styleId="Gitternetztabelle1hellAkzent1">
    <w:name w:val="Grid Table 1 Light Accent 1"/>
    <w:aliases w:val="BAES Tabelle gebändert"/>
    <w:basedOn w:val="NormaleTabelle"/>
    <w:uiPriority w:val="46"/>
    <w:rsid w:val="00B03A61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598312" w:themeColor="accent1" w:themeShade="BF"/>
        <w:bottom w:val="single" w:sz="4" w:space="0" w:color="598312" w:themeColor="accent1" w:themeShade="BF"/>
        <w:insideH w:val="single" w:sz="4" w:space="0" w:color="598312" w:themeColor="accent1" w:themeShade="BF"/>
        <w:insideV w:val="single" w:sz="4" w:space="0" w:color="598312" w:themeColor="accent1" w:themeShade="BF"/>
      </w:tblBorders>
    </w:tblPr>
    <w:tcPr>
      <w:vAlign w:val="center"/>
    </w:tcPr>
    <w:tblStylePr w:type="firstRow">
      <w:pPr>
        <w:jc w:val="center"/>
      </w:pPr>
      <w:rPr>
        <w:b/>
        <w:bCs/>
      </w:rPr>
      <w:tblPr/>
      <w:tcPr>
        <w:shd w:val="clear" w:color="auto" w:fill="BBD78B" w:themeFill="accent3"/>
      </w:tcPr>
    </w:tblStylePr>
    <w:tblStylePr w:type="lastRow">
      <w:rPr>
        <w:b/>
        <w:bCs/>
      </w:rPr>
      <w:tblPr/>
      <w:tcPr>
        <w:tcBorders>
          <w:top w:val="double" w:sz="2" w:space="0" w:color="B4E85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E3EFD0" w:themeFill="accent3" w:themeFillTint="66"/>
      </w:tcPr>
    </w:tblStylePr>
  </w:style>
  <w:style w:type="table" w:styleId="Gitternetztabelle1hellAkzent4">
    <w:name w:val="Grid Table 1 Light Accent 4"/>
    <w:aliases w:val="BAES Tabelle 2 gebändert"/>
    <w:basedOn w:val="NormaleTabelle"/>
    <w:uiPriority w:val="46"/>
    <w:rsid w:val="00B03A61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598312" w:themeColor="accent1" w:themeShade="BF"/>
        <w:bottom w:val="single" w:sz="4" w:space="0" w:color="598312" w:themeColor="accent1" w:themeShade="BF"/>
        <w:insideH w:val="single" w:sz="4" w:space="0" w:color="598312" w:themeColor="accent1" w:themeShade="BF"/>
        <w:insideV w:val="single" w:sz="4" w:space="0" w:color="598312" w:themeColor="accent1" w:themeShade="BF"/>
      </w:tblBorders>
    </w:tblPr>
    <w:tcPr>
      <w:vAlign w:val="center"/>
    </w:tcPr>
    <w:tblStylePr w:type="firstRow">
      <w:rPr>
        <w:b/>
        <w:bCs/>
      </w:rPr>
      <w:tblPr/>
      <w:tcPr>
        <w:shd w:val="clear" w:color="auto" w:fill="BBD78B" w:themeFill="accent3"/>
      </w:tcPr>
    </w:tblStylePr>
    <w:tblStylePr w:type="lastRow">
      <w:rPr>
        <w:b/>
        <w:bCs/>
      </w:rPr>
      <w:tblPr/>
      <w:tcPr>
        <w:tcBorders>
          <w:top w:val="double" w:sz="2" w:space="0" w:color="6AE12A" w:themeColor="accent4" w:themeTint="99"/>
        </w:tcBorders>
      </w:tcPr>
    </w:tblStylePr>
    <w:tblStylePr w:type="firstCol">
      <w:rPr>
        <w:b/>
        <w:bCs/>
      </w:rPr>
      <w:tblPr/>
      <w:tcPr>
        <w:shd w:val="clear" w:color="auto" w:fill="BBD78B" w:themeFill="accent3"/>
      </w:tcPr>
    </w:tblStylePr>
    <w:tblStylePr w:type="lastCol">
      <w:rPr>
        <w:b/>
        <w:bCs/>
      </w:rPr>
    </w:tblStylePr>
    <w:tblStylePr w:type="band2Horz">
      <w:tblPr/>
      <w:tcPr>
        <w:shd w:val="clear" w:color="auto" w:fill="E3EFD0" w:themeFill="accent3" w:themeFillTint="66"/>
      </w:tcPr>
    </w:tblStylePr>
  </w:style>
  <w:style w:type="table" w:styleId="Listentabelle1hell">
    <w:name w:val="List Table 1 Light"/>
    <w:aliases w:val="BAES Listentabelle"/>
    <w:basedOn w:val="NormaleTabelle"/>
    <w:uiPriority w:val="46"/>
    <w:rsid w:val="00B03A61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598312" w:themeColor="accent1" w:themeShade="BF"/>
        <w:bottom w:val="single" w:sz="4" w:space="0" w:color="598312" w:themeColor="accent1" w:themeShade="BF"/>
        <w:insideH w:val="single" w:sz="4" w:space="0" w:color="598312" w:themeColor="accent1" w:themeShade="BF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shd w:val="clear" w:color="auto" w:fill="BBD78B" w:themeFill="accent3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Listentabelle1hellAkzent1">
    <w:name w:val="List Table 1 Light Accent 1"/>
    <w:aliases w:val="BAES Listentabelle gebändert"/>
    <w:basedOn w:val="NormaleTabelle"/>
    <w:uiPriority w:val="46"/>
    <w:rsid w:val="00B03A61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598312" w:themeColor="accent1" w:themeShade="BF"/>
        <w:bottom w:val="single" w:sz="4" w:space="0" w:color="598312" w:themeColor="accent1" w:themeShade="BF"/>
        <w:insideH w:val="single" w:sz="4" w:space="0" w:color="598312" w:themeColor="accent1" w:themeShade="BF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shd w:val="clear" w:color="auto" w:fill="BBD78B" w:themeFill="accent3"/>
      </w:tcPr>
    </w:tblStylePr>
    <w:tblStylePr w:type="lastRow">
      <w:rPr>
        <w:b/>
        <w:bCs/>
      </w:rPr>
      <w:tblPr/>
      <w:tcPr>
        <w:tcBorders>
          <w:top w:val="single" w:sz="4" w:space="0" w:color="B4E85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E3EFD0" w:themeFill="accent3" w:themeFillTint="66"/>
      </w:tcPr>
    </w:tblStylePr>
  </w:style>
  <w:style w:type="table" w:styleId="Listentabelle1hellAkzent2">
    <w:name w:val="List Table 1 Light Accent 2"/>
    <w:aliases w:val="BAES Listentabelle 2"/>
    <w:basedOn w:val="NormaleTabelle"/>
    <w:uiPriority w:val="46"/>
    <w:rsid w:val="00B03A61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598312" w:themeColor="accent1" w:themeShade="BF"/>
        <w:bottom w:val="single" w:sz="4" w:space="0" w:color="598312" w:themeColor="accent1" w:themeShade="BF"/>
        <w:insideH w:val="single" w:sz="4" w:space="0" w:color="598312" w:themeColor="accent1" w:themeShade="BF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  <w:bCs/>
      </w:rPr>
      <w:tblPr/>
      <w:tcPr>
        <w:shd w:val="clear" w:color="auto" w:fill="BBD78B" w:themeFill="accent3"/>
      </w:tcPr>
    </w:tblStylePr>
    <w:tblStylePr w:type="lastRow">
      <w:rPr>
        <w:b/>
        <w:bCs/>
      </w:rPr>
      <w:tblPr/>
      <w:tcPr>
        <w:tcBorders>
          <w:top w:val="single" w:sz="4" w:space="0" w:color="C2DB97" w:themeColor="accent2" w:themeTint="99"/>
        </w:tcBorders>
      </w:tcPr>
    </w:tblStylePr>
    <w:tblStylePr w:type="firstCol">
      <w:rPr>
        <w:b/>
        <w:bCs/>
      </w:rPr>
      <w:tblPr/>
      <w:tcPr>
        <w:shd w:val="clear" w:color="auto" w:fill="BBD78B" w:themeFill="accent3"/>
      </w:tcPr>
    </w:tblStylePr>
    <w:tblStylePr w:type="lastCol">
      <w:rPr>
        <w:b w:val="0"/>
        <w:bCs/>
      </w:rPr>
    </w:tblStylePr>
  </w:style>
  <w:style w:type="table" w:styleId="Listentabelle1hellAkzent3">
    <w:name w:val="List Table 1 Light Accent 3"/>
    <w:aliases w:val="BAES Listentabelle 2 gebändert"/>
    <w:basedOn w:val="NormaleTabelle"/>
    <w:uiPriority w:val="46"/>
    <w:rsid w:val="00B03A61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598312" w:themeColor="accent1" w:themeShade="BF"/>
        <w:bottom w:val="single" w:sz="4" w:space="0" w:color="598312" w:themeColor="accent1" w:themeShade="BF"/>
        <w:insideH w:val="single" w:sz="4" w:space="0" w:color="598312" w:themeColor="accent1" w:themeShade="BF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shd w:val="clear" w:color="auto" w:fill="BBD78B" w:themeFill="accent3"/>
      </w:tcPr>
    </w:tblStylePr>
    <w:tblStylePr w:type="lastRow">
      <w:rPr>
        <w:b/>
        <w:bCs/>
      </w:rPr>
      <w:tblPr/>
      <w:tcPr>
        <w:tcBorders>
          <w:top w:val="single" w:sz="4" w:space="0" w:color="D6E7B9" w:themeColor="accent3" w:themeTint="99"/>
        </w:tcBorders>
      </w:tcPr>
    </w:tblStylePr>
    <w:tblStylePr w:type="firstCol">
      <w:rPr>
        <w:b/>
        <w:bCs/>
      </w:rPr>
      <w:tblPr/>
      <w:tcPr>
        <w:shd w:val="clear" w:color="auto" w:fill="BBD78B" w:themeFill="accent3"/>
      </w:tcPr>
    </w:tblStylePr>
    <w:tblStylePr w:type="lastCol">
      <w:rPr>
        <w:b w:val="0"/>
        <w:bCs/>
      </w:rPr>
    </w:tblStylePr>
    <w:tblStylePr w:type="band2Horz">
      <w:tblPr/>
      <w:tcPr>
        <w:shd w:val="clear" w:color="auto" w:fill="E3EFD0" w:themeFill="accent3" w:themeFillTint="66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4F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4F9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F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F9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26160A"/>
    <w:pPr>
      <w:ind w:left="720"/>
      <w:contextualSpacing/>
    </w:pPr>
  </w:style>
  <w:style w:type="paragraph" w:customStyle="1" w:styleId="Kopf-Fusszeilentext8pt">
    <w:name w:val="Kopf-Fusszeilentext_8pt"/>
    <w:basedOn w:val="Kopfzeile"/>
    <w:uiPriority w:val="3"/>
    <w:semiHidden/>
    <w:qFormat/>
    <w:rsid w:val="0008389A"/>
    <w:pPr>
      <w:spacing w:line="276" w:lineRule="auto"/>
      <w:contextualSpacing/>
    </w:pPr>
    <w:rPr>
      <w:sz w:val="16"/>
      <w:szCs w:val="16"/>
    </w:rPr>
  </w:style>
  <w:style w:type="paragraph" w:customStyle="1" w:styleId="Adresse">
    <w:name w:val="Adresse"/>
    <w:basedOn w:val="Standard"/>
    <w:uiPriority w:val="3"/>
    <w:qFormat/>
    <w:rsid w:val="0008389A"/>
    <w:pPr>
      <w:spacing w:before="0" w:line="240" w:lineRule="auto"/>
    </w:pPr>
    <w:rPr>
      <w:sz w:val="20"/>
      <w:szCs w:val="20"/>
    </w:rPr>
  </w:style>
  <w:style w:type="paragraph" w:customStyle="1" w:styleId="1Briefinfo">
    <w:name w:val="Ü1 Briefinfo"/>
    <w:basedOn w:val="Standard"/>
    <w:uiPriority w:val="3"/>
    <w:semiHidden/>
    <w:qFormat/>
    <w:rsid w:val="0008389A"/>
    <w:pPr>
      <w:spacing w:before="0" w:after="0" w:line="276" w:lineRule="auto"/>
      <w:outlineLvl w:val="0"/>
    </w:pPr>
    <w:rPr>
      <w:rFonts w:asciiTheme="majorHAnsi" w:hAnsiTheme="majorHAnsi"/>
      <w:sz w:val="16"/>
      <w:szCs w:val="16"/>
    </w:rPr>
  </w:style>
  <w:style w:type="paragraph" w:customStyle="1" w:styleId="StandardBriefinfo">
    <w:name w:val="Standard_Briefinfo"/>
    <w:basedOn w:val="Standard"/>
    <w:uiPriority w:val="3"/>
    <w:semiHidden/>
    <w:qFormat/>
    <w:rsid w:val="0008389A"/>
    <w:pPr>
      <w:spacing w:before="0" w:after="0"/>
    </w:pPr>
    <w:rPr>
      <w:sz w:val="16"/>
      <w:szCs w:val="16"/>
    </w:rPr>
  </w:style>
  <w:style w:type="character" w:styleId="Fett">
    <w:name w:val="Strong"/>
    <w:basedOn w:val="Absatz-Standardschriftart"/>
    <w:uiPriority w:val="40"/>
    <w:qFormat/>
    <w:rsid w:val="0008389A"/>
    <w:rPr>
      <w:b/>
      <w:bCs/>
    </w:rPr>
  </w:style>
  <w:style w:type="paragraph" w:customStyle="1" w:styleId="Betreffzeile">
    <w:name w:val="Betreffzeile"/>
    <w:basedOn w:val="Standard"/>
    <w:next w:val="Standard"/>
    <w:uiPriority w:val="3"/>
    <w:qFormat/>
    <w:rsid w:val="0008389A"/>
    <w:pPr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es.gv.at/en/official-announcement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smregister.baes.gv.at/psmregister/faces/mai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ppp@baes.gv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uber\AppData\Local\Temp\notesE0AF41\BAES%20Briefvorlag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DE25DFC7454BC6B1E77614215F5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631D8-F2D6-4334-916F-C27F487EE7B6}"/>
      </w:docPartPr>
      <w:docPartBody>
        <w:p w:rsidR="00DD4F60" w:rsidRDefault="00FB2547">
          <w:pPr>
            <w:pStyle w:val="05DE25DFC7454BC6B1E77614215F55A5"/>
          </w:pPr>
          <w:r w:rsidRPr="00BD366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47"/>
    <w:rsid w:val="0001479B"/>
    <w:rsid w:val="000177BA"/>
    <w:rsid w:val="000F11E3"/>
    <w:rsid w:val="002F260C"/>
    <w:rsid w:val="00351E28"/>
    <w:rsid w:val="003A5D7A"/>
    <w:rsid w:val="007C68D2"/>
    <w:rsid w:val="00A010AF"/>
    <w:rsid w:val="00A011BA"/>
    <w:rsid w:val="00BD7699"/>
    <w:rsid w:val="00CF7C94"/>
    <w:rsid w:val="00DD4F60"/>
    <w:rsid w:val="00FB2547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5DE25DFC7454BC6B1E77614215F55A5">
    <w:name w:val="05DE25DFC7454BC6B1E77614215F5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ganisch">
  <a:themeElements>
    <a:clrScheme name="BAES">
      <a:dk1>
        <a:sysClr val="windowText" lastClr="000000"/>
      </a:dk1>
      <a:lt1>
        <a:srgbClr val="E4E4E4"/>
      </a:lt1>
      <a:dk2>
        <a:srgbClr val="295C0D"/>
      </a:dk2>
      <a:lt2>
        <a:srgbClr val="E9ECEF"/>
      </a:lt2>
      <a:accent1>
        <a:srgbClr val="78B018"/>
      </a:accent1>
      <a:accent2>
        <a:srgbClr val="9AC452"/>
      </a:accent2>
      <a:accent3>
        <a:srgbClr val="BBD78B"/>
      </a:accent3>
      <a:accent4>
        <a:srgbClr val="295C0D"/>
      </a:accent4>
      <a:accent5>
        <a:srgbClr val="106CAB"/>
      </a:accent5>
      <a:accent6>
        <a:srgbClr val="4C95C0"/>
      </a:accent6>
      <a:hlink>
        <a:srgbClr val="285670"/>
      </a:hlink>
      <a:folHlink>
        <a:srgbClr val="106CAB"/>
      </a:folHlink>
    </a:clrScheme>
    <a:fontScheme name="AGES">
      <a:majorFont>
        <a:latin typeface="Segoe UI Semi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:configuration xmlns:c="http://ns.axespdf.com/word/configuration">
  <c:group id="Styles">
    <c:group id="Header ↓ Ebene 1">
      <c:property id="RoleID" type="string">ParagraphHeaderCellComplex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Quote">
      <c:property id="RoleID" type="string">ParagraphBlockQuote</c:property>
    </c:group>
    <c:group id="__IntenseQuote">
      <c:property id="RoleID" type="string">ParagraphBlockQuote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__Caption">
      <c:property id="RoleID" type="string">ParagraphCaption</c:property>
    </c:group>
    <c:group id="__wdStyleTocHeading">
      <c:property id="RoleID" type="string">ParagraphHeading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__Heading1">
      <c:property id="RoleID" type="string">ParagraphDefault</c:property>
    </c:group>
    <c:group id="__Heading2">
      <c:property id="RoleID" type="string">ParagraphDefault</c:property>
    </c:group>
    <c:group id="__Heading3">
      <c:property id="RoleID" type="string">ParagraphDefault</c:property>
    </c:group>
    <c:group id="__Heading4">
      <c:property id="RoleID" type="string">ParagraphDefault</c:property>
    </c:group>
    <c:group id="__Heading5">
      <c:property id="RoleID" type="string">ParagraphDefault</c:property>
    </c:group>
    <c:group id="__Heading6">
      <c:property id="RoleID" type="string">ParagraphDefault</c:property>
    </c:group>
    <c:group id="__Heading7">
      <c:property id="RoleID" type="string">ParagraphDefault</c:property>
    </c:group>
    <c:group id="__Heading8">
      <c:property id="RoleID" type="string">ParagraphDefault</c:property>
    </c:group>
    <c:group id="__Heading9">
      <c:property id="RoleID" type="string">ParagraphDefault</c:property>
    </c:group>
    <c:group id="Ü2 Infobox">
      <c:property id="RoleID" type="string">ParagraphHeading</c:property>
      <c:property id="Level" type="integer">2</c:property>
    </c:group>
    <c:group id="Ü3 Infobox">
      <c:property id="RoleID" type="string">ParagraphHeading</c:property>
      <c:property id="Level" type="integer">3</c:property>
    </c:group>
    <c:group id="Header → Spalte1">
      <c:property id="RoleID" type="string">ParagraphHeaderCellComplex</c:property>
      <c:property id="Down" type="boolean">false</c:property>
      <c:property id="Right" type="boolean">true</c:property>
    </c:group>
    <c:group id="Header ↓ Kopfzeile">
      <c:property id="RoleID" type="string">ParagraphHeaderCellComplex</c:property>
    </c:group>
  </c:group>
  <c:group id="Content">
    <c:group id="d6ca213f-6d24-4db4-9326-6b366883a04f">
      <c:property id="RoleID" type="string">TableLayoutTable</c:property>
    </c:group>
    <c:group id="fdadccea-286a-4e88-8e6a-da95743a6001">
      <c:property id="RoleID" type="string">TableLayoutTable</c:property>
    </c:group>
    <c:group id="475a1389-a26b-49e0-9948-88791a8ff765">
      <c:property id="RoleID" type="string">TableLayoutTable</c:property>
    </c:group>
    <c:group id="d7e21450-b96f-4d19-93a4-7edd811b0370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47DD0-BDAA-4A37-B1FD-0CE66B7D4E11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F4625F06-F7D2-4C09-9A50-981BADD3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BAES Briefvorlage</Template>
  <TotalTime>0</TotalTime>
  <Pages>3</Pages>
  <Words>933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der Titel</vt:lpstr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der Titel</dc:title>
  <dc:subject/>
  <dc:creator>Gruber Andrea</dc:creator>
  <cp:keywords/>
  <dc:description/>
  <cp:lastModifiedBy>Hurt Clemens</cp:lastModifiedBy>
  <cp:revision>4</cp:revision>
  <cp:lastPrinted>2022-01-31T10:46:00Z</cp:lastPrinted>
  <dcterms:created xsi:type="dcterms:W3CDTF">2022-07-11T08:39:00Z</dcterms:created>
  <dcterms:modified xsi:type="dcterms:W3CDTF">2023-04-20T11:58:00Z</dcterms:modified>
</cp:coreProperties>
</file>